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05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268"/>
        <w:gridCol w:w="1276"/>
        <w:gridCol w:w="2268"/>
        <w:gridCol w:w="2055"/>
      </w:tblGrid>
      <w:tr w:rsidR="006F58D4" w:rsidRPr="00520F85" w:rsidTr="00DB3D2E">
        <w:trPr>
          <w:cantSplit/>
        </w:trPr>
        <w:tc>
          <w:tcPr>
            <w:tcW w:w="3614" w:type="dxa"/>
            <w:gridSpan w:val="2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</w:rPr>
            </w:pPr>
            <w:r w:rsidRPr="00520F85">
              <w:rPr>
                <w:rFonts w:asciiTheme="majorHAnsi" w:hAnsiTheme="majorHAnsi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6058FDE9" wp14:editId="5111CB28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78740</wp:posOffset>
                  </wp:positionV>
                  <wp:extent cx="2136140" cy="320040"/>
                  <wp:effectExtent l="19050" t="0" r="0" b="0"/>
                  <wp:wrapNone/>
                  <wp:docPr id="2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140" cy="320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jc w:val="center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Řízený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br/>
              <w:t>výtisk</w:t>
            </w:r>
          </w:p>
        </w:tc>
        <w:tc>
          <w:tcPr>
            <w:tcW w:w="2268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>Číslo dokumentu:</w:t>
            </w:r>
          </w:p>
          <w:p w:rsidR="006F58D4" w:rsidRPr="00520F85" w:rsidRDefault="006F58D4" w:rsidP="00756D9A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I MM OS 02 1</w:t>
            </w:r>
            <w:r w:rsidR="00756D9A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3</w:t>
            </w:r>
          </w:p>
        </w:tc>
        <w:tc>
          <w:tcPr>
            <w:tcW w:w="2055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>Datum účinnosti:</w:t>
            </w:r>
          </w:p>
          <w:p w:rsidR="006F58D4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1</w:t>
            </w:r>
            <w:bookmarkStart w:id="0" w:name="_GoBack"/>
            <w:bookmarkEnd w:id="0"/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. 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září</w:t>
            </w:r>
            <w:r w:rsidR="006F58D4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 201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3</w:t>
            </w:r>
          </w:p>
        </w:tc>
      </w:tr>
      <w:tr w:rsidR="006F58D4" w:rsidRPr="00520F85" w:rsidTr="00DB3D2E">
        <w:trPr>
          <w:cantSplit/>
        </w:trPr>
        <w:tc>
          <w:tcPr>
            <w:tcW w:w="1346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 w:cs="Times New Roman"/>
              </w:rPr>
            </w:pP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t xml:space="preserve">Název </w:t>
            </w: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br/>
              <w:t>dokume</w:t>
            </w: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t>n</w:t>
            </w: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t>tu:</w:t>
            </w:r>
          </w:p>
        </w:tc>
        <w:tc>
          <w:tcPr>
            <w:tcW w:w="5812" w:type="dxa"/>
            <w:gridSpan w:val="3"/>
          </w:tcPr>
          <w:p w:rsidR="00DB3D2E" w:rsidRPr="00520F85" w:rsidRDefault="00DB3D2E" w:rsidP="00A8690D">
            <w:pPr>
              <w:autoSpaceDE w:val="0"/>
              <w:autoSpaceDN w:val="0"/>
              <w:adjustRightInd w:val="0"/>
              <w:ind w:right="276"/>
              <w:jc w:val="center"/>
              <w:outlineLvl w:val="0"/>
              <w:rPr>
                <w:rFonts w:asciiTheme="majorHAnsi" w:hAnsiTheme="majorHAnsi"/>
                <w:b w:val="0"/>
                <w:i w:val="0"/>
                <w:color w:val="auto"/>
                <w:sz w:val="6"/>
                <w:szCs w:val="6"/>
              </w:rPr>
            </w:pPr>
          </w:p>
          <w:p w:rsidR="006F58D4" w:rsidRPr="00520F85" w:rsidRDefault="006F58D4" w:rsidP="00665DDC">
            <w:pPr>
              <w:autoSpaceDE w:val="0"/>
              <w:autoSpaceDN w:val="0"/>
              <w:adjustRightInd w:val="0"/>
              <w:ind w:right="276"/>
              <w:jc w:val="center"/>
              <w:outlineLvl w:val="0"/>
              <w:rPr>
                <w:rFonts w:asciiTheme="majorHAnsi" w:hAnsiTheme="majorHAnsi" w:cs="Times New Roman"/>
                <w:i w:val="0"/>
                <w:iCs w:val="0"/>
                <w:color w:val="auto"/>
                <w:sz w:val="23"/>
                <w:szCs w:val="23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Příloha č. </w:t>
            </w:r>
            <w:r w:rsidR="00A8690D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3</w:t>
            </w: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 xml:space="preserve"> 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Organizační směrnice </w:t>
            </w:r>
            <w:bookmarkStart w:id="1" w:name="_Toc71600259"/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Nákup</w:t>
            </w:r>
            <w:r w:rsidR="00A8690D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br/>
            </w:r>
            <w:r w:rsidRPr="00520F85">
              <w:rPr>
                <w:rFonts w:asciiTheme="majorHAnsi" w:hAnsiTheme="majorHAnsi"/>
                <w:i w:val="0"/>
                <w:color w:val="auto"/>
                <w:sz w:val="6"/>
                <w:szCs w:val="6"/>
              </w:rPr>
              <w:br/>
            </w: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 xml:space="preserve"> </w:t>
            </w:r>
            <w:r w:rsidRPr="00520F85">
              <w:rPr>
                <w:rFonts w:asciiTheme="majorHAnsi" w:hAnsiTheme="majorHAnsi"/>
                <w:i w:val="0"/>
                <w:color w:val="auto"/>
                <w:sz w:val="2"/>
                <w:szCs w:val="2"/>
              </w:rPr>
              <w:br/>
            </w:r>
            <w:bookmarkEnd w:id="1"/>
            <w:r w:rsidR="00A8690D" w:rsidRPr="00520F85">
              <w:rPr>
                <w:rFonts w:asciiTheme="majorHAnsi" w:hAnsiTheme="majorHAnsi"/>
                <w:i w:val="0"/>
                <w:color w:val="auto"/>
                <w:sz w:val="25"/>
                <w:szCs w:val="25"/>
              </w:rPr>
              <w:t xml:space="preserve"> Zásady dodržování ochrany ŽP, BOZP a PO </w:t>
            </w:r>
            <w:r w:rsidR="00A8690D" w:rsidRPr="00520F85">
              <w:rPr>
                <w:rFonts w:asciiTheme="majorHAnsi" w:hAnsiTheme="majorHAnsi"/>
                <w:i w:val="0"/>
                <w:color w:val="auto"/>
                <w:sz w:val="25"/>
                <w:szCs w:val="25"/>
              </w:rPr>
              <w:br/>
              <w:t>externími firmami</w:t>
            </w:r>
          </w:p>
        </w:tc>
        <w:tc>
          <w:tcPr>
            <w:tcW w:w="2055" w:type="dxa"/>
            <w:vAlign w:val="center"/>
          </w:tcPr>
          <w:p w:rsidR="006F58D4" w:rsidRPr="00520F85" w:rsidRDefault="0005177B" w:rsidP="006F58D4">
            <w:pPr>
              <w:pStyle w:val="Zhlav"/>
              <w:spacing w:before="60" w:after="40"/>
              <w:ind w:left="6" w:right="6"/>
              <w:jc w:val="center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Stránka 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begin"/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instrText>PAGE  \* Arabic  \* MERGEFORMAT</w:instrTex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separate"/>
            </w:r>
            <w:r>
              <w:rPr>
                <w:rFonts w:asciiTheme="majorHAnsi" w:hAnsiTheme="majorHAnsi"/>
                <w:b w:val="0"/>
                <w:i w:val="0"/>
                <w:noProof/>
                <w:color w:val="auto"/>
                <w:szCs w:val="24"/>
              </w:rPr>
              <w:t>1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end"/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 z 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begin"/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instrText>NUMPAGES  \* Arabic  \* MERGEFORMAT</w:instrTex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separate"/>
            </w:r>
            <w:r>
              <w:rPr>
                <w:rFonts w:asciiTheme="majorHAnsi" w:hAnsiTheme="majorHAnsi"/>
                <w:b w:val="0"/>
                <w:i w:val="0"/>
                <w:noProof/>
                <w:color w:val="auto"/>
                <w:szCs w:val="24"/>
              </w:rPr>
              <w:t>8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end"/>
            </w:r>
          </w:p>
        </w:tc>
      </w:tr>
      <w:tr w:rsidR="006F58D4" w:rsidRPr="00520F85" w:rsidTr="006F58D4">
        <w:trPr>
          <w:cantSplit/>
        </w:trPr>
        <w:tc>
          <w:tcPr>
            <w:tcW w:w="4890" w:type="dxa"/>
            <w:gridSpan w:val="3"/>
          </w:tcPr>
          <w:p w:rsidR="00520F85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Zpracoval:  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br/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Marek Láznička, Manažer EHS</w:t>
            </w:r>
            <w:r w:rsidR="00FC40EC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</w:p>
          <w:p w:rsidR="006F58D4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dne 15. 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srpna 2013</w:t>
            </w:r>
          </w:p>
        </w:tc>
        <w:tc>
          <w:tcPr>
            <w:tcW w:w="4323" w:type="dxa"/>
            <w:gridSpan w:val="2"/>
          </w:tcPr>
          <w:p w:rsidR="006F58D4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Schválil: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br/>
              <w:t xml:space="preserve">Luboš </w:t>
            </w:r>
            <w:proofErr w:type="spellStart"/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Henžlík</w:t>
            </w:r>
            <w:proofErr w:type="spellEnd"/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, finanční ředitel 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br/>
              <w:t>dne 2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0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. 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srpna 2013</w:t>
            </w:r>
          </w:p>
        </w:tc>
      </w:tr>
    </w:tbl>
    <w:p w:rsidR="008D77D0" w:rsidRPr="00520F85" w:rsidRDefault="008D77D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</w:p>
    <w:p w:rsidR="006561A2" w:rsidRPr="00520F85" w:rsidRDefault="006561A2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</w:p>
    <w:p w:rsidR="006561A2" w:rsidRPr="00520F85" w:rsidRDefault="003D5CF0" w:rsidP="00AD2422">
      <w:pPr>
        <w:autoSpaceDE w:val="0"/>
        <w:autoSpaceDN w:val="0"/>
        <w:adjustRightInd w:val="0"/>
        <w:ind w:right="276"/>
        <w:jc w:val="both"/>
        <w:outlineLvl w:val="0"/>
        <w:rPr>
          <w:rFonts w:asciiTheme="majorHAnsi" w:hAnsiTheme="majorHAnsi" w:cs="Times New Roman"/>
          <w:i w:val="0"/>
          <w:iCs w:val="0"/>
          <w:color w:val="auto"/>
          <w:sz w:val="23"/>
          <w:szCs w:val="23"/>
        </w:rPr>
      </w:pPr>
      <w:r w:rsidRPr="00520F85">
        <w:rPr>
          <w:rFonts w:asciiTheme="majorHAnsi" w:hAnsiTheme="majorHAnsi"/>
          <w:i w:val="0"/>
          <w:color w:val="auto"/>
          <w:sz w:val="25"/>
          <w:szCs w:val="25"/>
        </w:rPr>
        <w:t>Zásad</w:t>
      </w:r>
      <w:r w:rsidR="0053507C" w:rsidRPr="00520F85">
        <w:rPr>
          <w:rFonts w:asciiTheme="majorHAnsi" w:hAnsiTheme="majorHAnsi"/>
          <w:i w:val="0"/>
          <w:color w:val="auto"/>
          <w:sz w:val="25"/>
          <w:szCs w:val="25"/>
        </w:rPr>
        <w:t>y</w:t>
      </w:r>
      <w:r w:rsidRPr="00520F85">
        <w:rPr>
          <w:rFonts w:asciiTheme="majorHAnsi" w:hAnsiTheme="majorHAnsi"/>
          <w:i w:val="0"/>
          <w:color w:val="auto"/>
          <w:sz w:val="25"/>
          <w:szCs w:val="25"/>
        </w:rPr>
        <w:t xml:space="preserve"> </w:t>
      </w:r>
      <w:r w:rsidR="006561A2" w:rsidRPr="00520F85">
        <w:rPr>
          <w:rFonts w:asciiTheme="majorHAnsi" w:hAnsiTheme="majorHAnsi"/>
          <w:i w:val="0"/>
          <w:color w:val="auto"/>
          <w:sz w:val="25"/>
          <w:szCs w:val="25"/>
        </w:rPr>
        <w:t>dodržování ochrany ŽP, BOZP a PO externími firmami</w:t>
      </w:r>
    </w:p>
    <w:p w:rsidR="008D77D0" w:rsidRPr="00520F85" w:rsidRDefault="008D77D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53507C" w:rsidRPr="00520F85" w:rsidRDefault="00A8690D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  <w:t>Zaměstnanci PPG Deco Czech a.s.</w:t>
      </w:r>
      <w:r w:rsidR="003D5CF0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 kteří projednávají práce externích d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odavatelů</w:t>
      </w:r>
      <w:r w:rsidR="00520F85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zodpovídají </w:t>
      </w:r>
      <w:proofErr w:type="gramStart"/>
      <w:r w:rsidR="0053507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za</w:t>
      </w:r>
      <w:proofErr w:type="gramEnd"/>
      <w:r w:rsidR="0053507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:</w:t>
      </w:r>
    </w:p>
    <w:p w:rsidR="0053507C" w:rsidRPr="00520F85" w:rsidRDefault="003808FA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To, ž</w:t>
      </w:r>
      <w:r w:rsidR="003D5CF0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e dále uvedené zásady budou součástí (přílohou) uzavřených smluv</w:t>
      </w:r>
      <w:r w:rsidR="0053507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,</w:t>
      </w:r>
    </w:p>
    <w:p w:rsidR="003808FA" w:rsidRPr="00520F85" w:rsidRDefault="003808FA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seznámení zodpovědného zástupce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externí f</w:t>
      </w:r>
      <w:r w:rsidR="00A8690D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irmy na pracovišti 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s riziky vyplývajícími z charakteru činností 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</w:t>
      </w:r>
      <w:r w:rsidR="0005559B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.</w:t>
      </w:r>
    </w:p>
    <w:p w:rsidR="003808FA" w:rsidRPr="00520F85" w:rsidRDefault="003D5CF0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kontrolu dodržování zásad externí firmou při v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ýkonu činností pro PPG Deco Czech a.s</w:t>
      </w:r>
      <w:r w:rsidR="0005559B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</w:p>
    <w:p w:rsidR="003D5CF0" w:rsidRPr="00520F85" w:rsidRDefault="003D5CF0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upozorn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ění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zodpovědného zástupce externí firmy na nedodržování zásad</w:t>
      </w:r>
      <w:r w:rsidR="00520F85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poku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ten nezaji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tí nápravu, zastavit práci externí firmy až do doby odstranění nedostatků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</w:p>
    <w:p w:rsidR="003D5CF0" w:rsidRPr="00520F85" w:rsidRDefault="003D5CF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3D5CF0" w:rsidRPr="00520F85" w:rsidRDefault="003D5CF0" w:rsidP="00AD2422">
      <w:pPr>
        <w:autoSpaceDE w:val="0"/>
        <w:autoSpaceDN w:val="0"/>
        <w:adjustRightInd w:val="0"/>
        <w:ind w:right="276"/>
        <w:jc w:val="both"/>
        <w:outlineLvl w:val="0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Používané zkratky:</w:t>
      </w:r>
    </w:p>
    <w:p w:rsidR="003F74DB" w:rsidRPr="00520F85" w:rsidRDefault="003F74DB" w:rsidP="00AD2422">
      <w:pPr>
        <w:autoSpaceDE w:val="0"/>
        <w:autoSpaceDN w:val="0"/>
        <w:adjustRightInd w:val="0"/>
        <w:ind w:right="276"/>
        <w:jc w:val="both"/>
        <w:outlineLvl w:val="0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PPG </w:t>
      </w: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 xml:space="preserve">     </w:t>
      </w:r>
      <w:proofErr w:type="spellStart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>PPG</w:t>
      </w:r>
      <w:proofErr w:type="spellEnd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 xml:space="preserve"> </w:t>
      </w:r>
      <w:proofErr w:type="spellStart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>Industries</w:t>
      </w:r>
      <w:proofErr w:type="spellEnd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 xml:space="preserve"> Inc. Pittsburgh</w:t>
      </w:r>
    </w:p>
    <w:p w:rsidR="003D5CF0" w:rsidRPr="00520F85" w:rsidRDefault="003D5CF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ŽP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  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životní prostředí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53507C" w:rsidRPr="00520F85" w:rsidRDefault="003D5CF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bezpečnost a ochrana zdraví při práci, </w:t>
      </w:r>
    </w:p>
    <w:p w:rsidR="0053507C" w:rsidRPr="00520F85" w:rsidRDefault="0053507C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   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požární ochrana</w:t>
      </w:r>
    </w:p>
    <w:p w:rsidR="006E41E0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3F74DB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Osoba zodpovědná za dodavatele PPG Deco Czech a.s.</w:t>
      </w:r>
    </w:p>
    <w:p w:rsidR="006E41E0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Manažer správy majetku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  <w:t xml:space="preserve">–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  <w:t>ing. Oldřiška Štemberová</w:t>
      </w:r>
    </w:p>
    <w:p w:rsidR="006E41E0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Další zapojené osoby jsou uvedeny ve vstupním záznamu pro dodavatele</w:t>
      </w:r>
      <w:r w:rsidR="00632203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viz </w:t>
      </w:r>
      <w:r w:rsidR="00632203" w:rsidRPr="00632203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ZA/140</w:t>
      </w:r>
    </w:p>
    <w:p w:rsidR="0053507C" w:rsidRPr="00520F85" w:rsidRDefault="0053507C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3808FA" w:rsidRPr="00520F85" w:rsidRDefault="006E77B1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Povinností externí firmy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3"/>
          <w:szCs w:val="23"/>
        </w:rPr>
        <w:t xml:space="preserve"> </w:t>
      </w:r>
    </w:p>
    <w:p w:rsidR="006E77B1" w:rsidRPr="00520F85" w:rsidRDefault="003808FA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ab/>
        <w:t xml:space="preserve">Každá externí firma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(dodavatel) pracující pro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PPG Deco Czech a.s</w:t>
      </w:r>
      <w:r w:rsidR="004E3ADC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je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povinna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zajistit na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urč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ných 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pracoviš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tích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bezpečné, zdraví neohrožující pracovní podmínky,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 souladu se 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ákoník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em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práce, státní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mi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norm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ami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obecně platn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ými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předpisy, 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požadavky PPG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dodržet tato ustanovení: </w:t>
      </w:r>
    </w:p>
    <w:p w:rsidR="006E77B1" w:rsidRPr="00520F85" w:rsidRDefault="00B673B4" w:rsidP="00166C9A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Všeo</w:t>
      </w:r>
      <w:r w:rsidR="006E77B1"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becn</w:t>
      </w: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é zásady</w:t>
      </w:r>
      <w:r w:rsidR="006E77B1"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:</w:t>
      </w:r>
    </w:p>
    <w:p w:rsidR="007D7DF0" w:rsidRPr="00520F85" w:rsidRDefault="007D7DF0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 každým provedením prací pro PPG Deco Czech a.s. bude vyplněno „povolení práce dod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vatele“ a to ze strany dodavatele a PPG, originál bude po celou dobu k dispozici na vrátnici společnosti a kopii obdrží dodavatel či jeho zástupce.</w:t>
      </w:r>
    </w:p>
    <w:p w:rsidR="003808FA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Zaměstnávat na práce pro 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jen takové pracovníky, kteří mají pro výkon práce odpovídající kvalifikaci. 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Zajistit, aby všichni jejich pracovníci znali jméno svého přímého vedoucího pracovníka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(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zo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povědného zástupce externí firmy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)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na pracovišti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Informovat své zaměstnance o rizicích vyplývajících z charakteru činností </w:t>
      </w:r>
      <w:r w:rsidR="00F66ACE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Deco Czech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a.s. tak, jak s nimi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byla seznámena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zodpo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vědnými zaměstnanci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upozornit na nutnost vzájemné spolupráce při zajišťování podmínek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Pracovníci dodavatele musí být vybaveni osobními ochrannými pracovními pomůckami, které odpovídají charakteru prováděné práce a pracovnímu prostředí a musí tyto pomůcky použ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vat. </w:t>
      </w:r>
    </w:p>
    <w:p w:rsidR="006E77B1" w:rsidRPr="00520F85" w:rsidRDefault="00BE2DA8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održovat základní normy příslušného pracoviště, kde plní své smluvní povinnosti a se kt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rými budou seznámeni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zahájení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prací.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Udržovat na přiděleném pracovišti pořádek, šetřit a chránit majetek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lastRenderedPageBreak/>
        <w:t>Respektovat zákaz přinášení a požívání alkoholických nápojů a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návykových látek na pracovi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š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tích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</w:p>
    <w:p w:rsidR="00166C9A" w:rsidRPr="00520F85" w:rsidRDefault="006E77B1" w:rsidP="006244A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Zaměstnanci dodavatele se mohou zdržovat a vstupovat jen na místa, která byla 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určena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plnění 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dohodnuté činnosti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Bez zvláštního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výslovného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povolení nesmí svojí činností zasahovat a omezovat provoz na 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munikacích, nesmí ovlivňovat bezpečnostní značení a osvětlení a poškozovat terénní úpravy.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Řidiči motorových vozidel a zaměstnanci speciálních profesí (např. svářeč</w:t>
      </w:r>
      <w:r w:rsidR="00D146E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lešenář</w:t>
      </w:r>
      <w:r w:rsidR="008C2BFD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atd.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) musí mít u sebe potřebné oprávnění, respektovat bezpečnostní značení a pokyny oprávně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ných z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městnanců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Hlásit každý pracovní úraz a pracovní nehodu zástupci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</w:p>
    <w:p w:rsidR="00520F85" w:rsidRPr="00520F85" w:rsidRDefault="00520F85" w:rsidP="00520F85">
      <w:pPr>
        <w:tabs>
          <w:tab w:val="left" w:pos="720"/>
        </w:tabs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D146E3" w:rsidRPr="00520F85" w:rsidRDefault="00D146E3" w:rsidP="003B00A4">
      <w:pPr>
        <w:tabs>
          <w:tab w:val="left" w:pos="720"/>
        </w:tabs>
        <w:autoSpaceDE w:val="0"/>
        <w:autoSpaceDN w:val="0"/>
        <w:adjustRightInd w:val="0"/>
        <w:ind w:left="180" w:right="276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Zaměstnanci dodavatele jsou dále povinni: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 w:right="276" w:hanging="567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respektovat pokyny členů vedení společnosti, pracovníka společnosti, který byl určen jako 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povědná osoba (pověřený zástupce), osoby odpovědné za oblast BOZP a PO a bezpečnostního technika;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každý den zahájit práci až po kontaktu s pověřeným zástupcem a/nebo vedoucím provozu 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bo po vystavení písemného povolení pověřeným zástupcem;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respektovat pokyny vedoucích provozů, mistrů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v jejichž  provozech vykonávají sjednané pr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ce, nebo se zde pohybují.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nevstupovat do areálu společnosti pod vlivem alkoholu nebo omamných látek;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při podezření z požití alkoholických nápojů nebo omamných látek se podrobit orientační 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chové zkoušce, kterou je jim na pokyn pověřeného zástupce vedení společnosti povinen nař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dit jejich vedoucí zaměstnanec stanovený v pracovním řádu jejich zaměstnavatele a/nebo 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věřený zástupce vedení společnosti, totéž platí o příslušném lékařskému vyšetření;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podrobit se na pokyn pověřeného zástupce vedení společnosti a/nebo zaměstnance subjektu, který pro společnost zajišťuje ochranu majetku a osob, namátkové prohlídce vozidel a zavazadel </w:t>
      </w:r>
    </w:p>
    <w:p w:rsidR="003D5CF0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není dovoleno jakkoliv uloženým materiálem blokovat únikové cesty a únikové východy, ro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vodná zařízení elektrické energie, ovládací panely, uzávěry a armat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ury, přenosné nebo pojíz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né hasi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cí přístroje; </w:t>
      </w:r>
    </w:p>
    <w:p w:rsidR="006E77B1" w:rsidRPr="00520F85" w:rsidRDefault="006E77B1" w:rsidP="00166C9A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Ustanovení k bezpečnosti práce a požární ochraně:</w:t>
      </w:r>
    </w:p>
    <w:p w:rsidR="006E77B1" w:rsidRPr="00520F85" w:rsidRDefault="006E77B1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Na území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smí provádět požárně nebezpečnou práci jen na základě pov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lení, které vystavuje zástupce 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Vedoucí dodavatelské společnosti je pov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nen povolení zaznamenat do stavebního deníku.</w:t>
      </w:r>
    </w:p>
    <w:p w:rsidR="006E77B1" w:rsidRPr="00520F85" w:rsidRDefault="006E77B1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Používá-li dodavatel vyhrazená technická, případně jiná zařízení podléhající zvláštním předp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sům, musí zařízení </w:t>
      </w:r>
      <w:r w:rsidR="00D1360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tyto předpisy splňovat a být obsluhována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zaměstnanci s příslušným oprávněním. </w:t>
      </w:r>
    </w:p>
    <w:p w:rsidR="006E77B1" w:rsidRPr="00520F85" w:rsidRDefault="006E77B1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Ve stavebním deníku musí být dokladovány všechny skutečnosti ovlivňující bezpečnost práce (vydaná povolení, zákazy, pokyny, omezení apod.) včetně úrazů, nehod apod.</w:t>
      </w:r>
    </w:p>
    <w:p w:rsidR="00D13604" w:rsidRPr="00520F85" w:rsidRDefault="00D13604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je povinen dodržovat Zákoník práce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 hlediska BOZP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</w:t>
      </w:r>
    </w:p>
    <w:p w:rsidR="00CC49E5" w:rsidRPr="00520F85" w:rsidRDefault="00151B65" w:rsidP="00CC49E5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Dodavatel, je povinen i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nformovat zástupce 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A831BB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rizi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cích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která vyplývají z jeho činnosti, viz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§</w:t>
      </w:r>
      <w:r w:rsidR="00C237B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101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Zákoníku práce</w:t>
      </w:r>
      <w:r w:rsidR="00C237B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</w:t>
      </w:r>
      <w:r w:rsidR="00A50C9E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C237B5" w:rsidRPr="00A50C9E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příloha a)</w:t>
      </w:r>
      <w:r w:rsidR="00235CFC" w:rsidRPr="00A50C9E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.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Informace musí proběhnout písemnou formou, například protokolem, nebo zápisem do stavebního deníku a podpisem zástupců obou stran</w:t>
      </w:r>
    </w:p>
    <w:p w:rsidR="00CC49E5" w:rsidRPr="00520F85" w:rsidRDefault="00CC49E5" w:rsidP="00CC49E5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Dodavateli byla předána rizi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ka BOZP a politika 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</w:t>
      </w:r>
      <w:r w:rsidR="00687AAF" w:rsidRPr="00A50C9E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s.</w:t>
      </w:r>
      <w:r w:rsidR="004E3ADC" w:rsidRPr="00A50C9E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a dodavatel se zavazuje proškolit všechny zaměstnance pod jeho působností.</w:t>
      </w:r>
    </w:p>
    <w:p w:rsidR="00CC49E5" w:rsidRPr="00520F85" w:rsidRDefault="00CC49E5" w:rsidP="00BE6363">
      <w:pPr>
        <w:numPr>
          <w:ilvl w:val="0"/>
          <w:numId w:val="9"/>
        </w:numPr>
        <w:autoSpaceDE w:val="0"/>
        <w:autoSpaceDN w:val="0"/>
        <w:adjustRightInd w:val="0"/>
        <w:ind w:right="276" w:hanging="578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Smluvní strany se dohodly, že koordinaci BOZP na pracovišti bude koordinovat ve</w:t>
      </w:r>
      <w:r w:rsidR="006244A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dou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cí pr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a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coviště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pro jehož útvar jsou práce konány.</w:t>
      </w:r>
    </w:p>
    <w:p w:rsidR="00BE6363" w:rsidRPr="00520F85" w:rsidRDefault="00430D81" w:rsidP="00BE6363">
      <w:pPr>
        <w:numPr>
          <w:ilvl w:val="0"/>
          <w:numId w:val="9"/>
        </w:numPr>
        <w:autoSpaceDE w:val="0"/>
        <w:autoSpaceDN w:val="0"/>
        <w:adjustRightInd w:val="0"/>
        <w:ind w:right="276" w:hanging="578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Pře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dstavitelem vedení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pro oblast BO</w:t>
      </w:r>
      <w:r w:rsidR="002115C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ZP je jmenován manažer BOZP</w:t>
      </w:r>
      <w:r w:rsidR="00BB19B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</w:t>
      </w:r>
    </w:p>
    <w:p w:rsidR="00BE6363" w:rsidRPr="00520F85" w:rsidRDefault="00BE6363" w:rsidP="00BE6363">
      <w:pPr>
        <w:numPr>
          <w:ilvl w:val="0"/>
          <w:numId w:val="9"/>
        </w:numPr>
        <w:autoSpaceDE w:val="0"/>
        <w:autoSpaceDN w:val="0"/>
        <w:adjustRightInd w:val="0"/>
        <w:ind w:right="276" w:hanging="578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Na pracovišti je poplach vyhlašován hlasitým zvoláním „hoří“</w:t>
      </w:r>
    </w:p>
    <w:p w:rsidR="00BE6363" w:rsidRPr="00520F85" w:rsidRDefault="00BE6363" w:rsidP="00BE6363">
      <w:pPr>
        <w:autoSpaceDE w:val="0"/>
        <w:autoSpaceDN w:val="0"/>
        <w:adjustRightInd w:val="0"/>
        <w:ind w:left="720" w:right="276" w:hanging="11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lastRenderedPageBreak/>
        <w:t>V objektu regálového skladu, skladu NO a prostoru serveru v administrativní budově je možné poplach vyhlásit tlačítkovým hlásičem požáru nebo aktivací hlásiče EPS do vrátnice s trvalou obsluhou</w:t>
      </w:r>
    </w:p>
    <w:p w:rsidR="00BE6363" w:rsidRPr="00520F85" w:rsidRDefault="00BE6363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Následně obsluha vrátnice zajistí vyhlášení poplachu pomocí závodního rozhlasu a současně sirénou:</w:t>
      </w:r>
    </w:p>
    <w:p w:rsidR="00CC49E5" w:rsidRPr="00520F85" w:rsidRDefault="00BE6363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  <w:t>25 vteřin nepřerušovaně-10 vteřin pauza – 25 vteřin nepřerušovaně</w:t>
      </w:r>
    </w:p>
    <w:p w:rsidR="00520F85" w:rsidRPr="00520F85" w:rsidRDefault="00520F85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</w:p>
    <w:p w:rsidR="00520F85" w:rsidRPr="00520F85" w:rsidRDefault="00520F85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</w:p>
    <w:p w:rsidR="00520F85" w:rsidRPr="00520F85" w:rsidRDefault="00520F85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</w:p>
    <w:p w:rsidR="006E77B1" w:rsidRPr="00520F85" w:rsidRDefault="006E77B1" w:rsidP="00166C9A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Ustanovení k ochraně životního prostředí:</w:t>
      </w:r>
    </w:p>
    <w:p w:rsidR="008C2BFD" w:rsidRPr="00520F85" w:rsidRDefault="008C2BFD" w:rsidP="003B00A4">
      <w:pPr>
        <w:numPr>
          <w:ilvl w:val="0"/>
          <w:numId w:val="7"/>
        </w:numPr>
        <w:tabs>
          <w:tab w:val="clear" w:pos="1065"/>
          <w:tab w:val="num" w:pos="709"/>
        </w:tabs>
        <w:autoSpaceDE w:val="0"/>
        <w:autoSpaceDN w:val="0"/>
        <w:adjustRightInd w:val="0"/>
        <w:ind w:left="709" w:right="276" w:hanging="567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 je povinen předem dodat bezpečnostní listy od všech nebezpečných látek, které b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de přiváže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do společnosti PPG Deco Czech a.s. – popsáno v I HS PP 002 11_Předávání dok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mentace k chemickým látkám a směsím a rizikům z 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nich plynoucích</w:t>
      </w:r>
    </w:p>
    <w:p w:rsidR="006E77B1" w:rsidRPr="00520F85" w:rsidRDefault="00D13604" w:rsidP="00166C9A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 je povinen, v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souladu se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ákonem o vodách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respektovat ochranu povrchových a podzemních vod a půdy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zejména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při manipulaci s látkami škodlivými vodám (ropn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é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a dalších závadn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é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látk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y)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při jejich přepravě apod. tak, aby nebyla ohrožena nebo zhoršena jakost pov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chových nebo podzemních vod.</w:t>
      </w:r>
    </w:p>
    <w:p w:rsidR="006E77B1" w:rsidRPr="00520F85" w:rsidRDefault="006E77B1" w:rsidP="00166C9A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Respektovat zákaz mytí motorových vozidel a provozních mechanizmů.</w:t>
      </w:r>
    </w:p>
    <w:p w:rsidR="006E77B1" w:rsidRPr="00520F85" w:rsidRDefault="006E77B1" w:rsidP="00166C9A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 případě úniku závadných látek (havárie) způsobených pracovníky nebo zařízením dodav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tele zajistit provedení okamžitých zásahů k zabránění nebo omezení vlivu na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životní prostředí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Bez odkladu událost oznámit zástupci 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 ve spolupráci s ním zajišťovat 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sledná opatření ke zneškodnění havárie a k odstranění jejich následků. Zúčastnit se vyšetř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vání příčiny havárie a havarijních situací způsobených vlastní činností pro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Toto ohlášení nenahrazuje hlášení původce havárie orgánům státní správy na úseku ochrany životního prostředí podle příslušných právních předpisů.</w:t>
      </w:r>
    </w:p>
    <w:p w:rsidR="00BC5132" w:rsidRPr="00520F85" w:rsidRDefault="007E1443" w:rsidP="007402D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Nakládat s nebezpečnými látkami a přípravky v souladu se Zákonem o chemických látkách a chemických přípravcíc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h (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). Oznámit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520F85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zřízení (i dočasného) pr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vozního skladu 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jeho umístění, zabezpečení a množství skladovaných látek. Toto oznámení nenahrazuje rozhodnutí/souhlas příslušných orgánů státní správy ke zřízení tohoto skladu 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vyžaduje-li ho příslušný právní předpis.</w:t>
      </w:r>
    </w:p>
    <w:p w:rsidR="006E77B1" w:rsidRPr="00520F85" w:rsidRDefault="006E77B1" w:rsidP="00BC513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Zajistit, aby 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s nimiž se nakládá, neunikaly do venkovního ovzduší, půdy a vody. Zaji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tit odpovídající prostředky pro likvidaci případné nehody (havárie) v životním a pracovním prostředí způsobené těmito látkami.</w:t>
      </w:r>
    </w:p>
    <w:p w:rsidR="006E77B1" w:rsidRPr="00520F85" w:rsidRDefault="00243DA6" w:rsidP="00BC513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 případě p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rovozov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ání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zdroje znečišť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ující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ovzduší a plnit další 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povinnosti v souladu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se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ák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nem o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Ochraně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ovzduší. Oznámit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05559B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uvedení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zdroje do provozu a předávat kopii údajů provozní evidence zasílané příslušným orgánům ochrany ovzduší (oznamovací povinnosti ve smyslu výše uvedeného zákona). </w:t>
      </w:r>
    </w:p>
    <w:p w:rsidR="006E77B1" w:rsidRPr="00520F85" w:rsidRDefault="006E77B1" w:rsidP="00BC513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Nakládat s odpady v souladu s ustanoveními zákona o odpadech (sběr, doprava, zneškodň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vání, evidence, ohlašování apod.). Oznámit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vlastní shromažďovací místa odpadů s určením druhu odpadů a odpovídající zabezpečení. Na shromažďovacích místech je dodavatel povinen udržovat pořádek a zamezit ukládání odpadů mimo tato místa. Zvláštní 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zornost je nutno věnovat nebezpečným odpadům.</w:t>
      </w:r>
    </w:p>
    <w:p w:rsidR="006E77B1" w:rsidRPr="00520F85" w:rsidRDefault="006E77B1" w:rsidP="00BC5132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Kontrola dodavatele a sankce:</w:t>
      </w:r>
    </w:p>
    <w:p w:rsidR="006E77B1" w:rsidRPr="00520F85" w:rsidRDefault="006E77B1" w:rsidP="00BC5132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Dodržování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zásad BOZP, PO, ochrany ŽP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dopravních 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předpisů a předpisů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na ochranu majetku kontroluje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Deco Czech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a.s.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formou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auditu.</w:t>
      </w:r>
    </w:p>
    <w:p w:rsidR="006E77B1" w:rsidRPr="00520F85" w:rsidRDefault="006E77B1" w:rsidP="00BC5132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 případě porušení těchto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zásad a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ustanovení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uplatní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Deco Czech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a.s.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následující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kroky, případně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sankce: </w:t>
      </w:r>
    </w:p>
    <w:p w:rsidR="00C50298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Upozorní zodpovědného zástupce externí firmy na nedodržování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zásad, a pokud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ten nez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jistí nápravu, zastaví práci externí firmy až do doby odstranění nedostatků,</w:t>
      </w:r>
    </w:p>
    <w:p w:rsidR="00C50298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dočasně nebo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trvale vykázat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dodavatele z území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C50298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lastRenderedPageBreak/>
        <w:t>zařadit dodavatele do nižší kategorie hodnocení,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sníž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it dodavatelskou cenu (max. 2%).</w:t>
      </w:r>
    </w:p>
    <w:p w:rsidR="006E77B1" w:rsidRPr="00520F85" w:rsidRDefault="006E77B1" w:rsidP="00C50298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Všechny výdaje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náklady 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související se sankcí hradí dodavatel.</w:t>
      </w:r>
    </w:p>
    <w:p w:rsidR="006E77B1" w:rsidRPr="00520F85" w:rsidRDefault="006E77B1" w:rsidP="00C50298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Porušení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která se klasifikují jako závažná, jsou následující:  </w:t>
      </w:r>
    </w:p>
    <w:p w:rsidR="006E77B1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</w:t>
      </w:r>
      <w:r w:rsidR="006E77B1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orušení zákazu kouření a používání otevřeného ohně,</w:t>
      </w:r>
    </w:p>
    <w:p w:rsidR="006E77B1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</w:t>
      </w:r>
      <w:r w:rsidR="006E77B1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ožití alkoholu nebo práce pod vlivem alkoholu a návyko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vých látek na území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zaměstnání zdravotně nezpůsobilého pracovníka nebo pracovníka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s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neodpovídající kval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i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fikac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í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nebo v oblasti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neproškoleného pracovníka,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neposkytnutí ochranných pomůcek nebo používání neúplných, resp. nevyhovujících ochranných pomůcek, 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pohyb nebo zdržování se na zakázaných místech,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překročení maximálně povolené rychlosti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porušení dopravních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předpisů v areálu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vjezd na travnatou plochu bez povolení, </w:t>
      </w:r>
    </w:p>
    <w:p w:rsidR="00C50298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značné znečištění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komunikací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bez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předchozího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povolení, </w:t>
      </w:r>
    </w:p>
    <w:p w:rsidR="007E1443" w:rsidRPr="00520F85" w:rsidRDefault="007E1443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zanedbání povinnosti vypnutí vlastních elektrických spotřebičů po ukončení práce,</w:t>
      </w:r>
    </w:p>
    <w:p w:rsidR="007E1443" w:rsidRPr="00520F85" w:rsidRDefault="003B00A4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poškozování majetku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7E1443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, </w:t>
      </w:r>
    </w:p>
    <w:p w:rsidR="007E1443" w:rsidRPr="00520F85" w:rsidRDefault="007E1443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porušení ustanovení o nakládání s odpady a nebezpečnými látkami a přípravky,</w:t>
      </w:r>
    </w:p>
    <w:p w:rsidR="007E1443" w:rsidRPr="00520F85" w:rsidRDefault="007E1443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znečištění životního prostředí.  </w:t>
      </w:r>
    </w:p>
    <w:p w:rsidR="00D84BBA" w:rsidRPr="00520F85" w:rsidRDefault="00D84BBA" w:rsidP="003B00A4">
      <w:pPr>
        <w:autoSpaceDE w:val="0"/>
        <w:autoSpaceDN w:val="0"/>
        <w:adjustRightInd w:val="0"/>
        <w:ind w:left="1080"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D84BBA" w:rsidRPr="00520F85" w:rsidRDefault="00D84BBA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Činnosti, které lze provádět jen na písemné povolení</w:t>
      </w:r>
      <w:r w:rsidR="00243DA6"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 xml:space="preserve"> či s potřebnou kvalifikací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1134" w:right="276" w:hanging="567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 s otevřeným plamenem; </w:t>
      </w:r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popsáno v I HS PP 004 12_Práce s otevřeným ohněm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 na jeřábových drahách nebo na tělesech jeřábů; 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práce ve výškách</w:t>
      </w:r>
    </w:p>
    <w:p w:rsidR="00243DA6" w:rsidRPr="00520F85" w:rsidRDefault="00243DA6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stavba lešení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993" w:right="276" w:hanging="426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práce, pro které je nutné odstavit a zajistit proti spuštění (systém LOTO) část výrobní linky nebo technologického zařízení; </w:t>
      </w:r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popsáno v I VY PP 034 12 Pracovní </w:t>
      </w:r>
      <w:proofErr w:type="spellStart"/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postup_LOTO</w:t>
      </w:r>
      <w:proofErr w:type="spellEnd"/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LB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993" w:right="276" w:hanging="453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práce, pro které je nutné odstavit a zajistit proti nátoku do částí či celých dopravních cest (systém LB) </w:t>
      </w:r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popsáno v I VY PP 034 12 Pracovní </w:t>
      </w:r>
      <w:proofErr w:type="spellStart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postup_LOTO</w:t>
      </w:r>
      <w:proofErr w:type="spellEnd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LB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993" w:right="276" w:hanging="426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 vyžadující vstup do stísněných prostor; </w:t>
      </w:r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I VY PP 035 10 Pracovní </w:t>
      </w:r>
      <w:proofErr w:type="spellStart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postup_vstup</w:t>
      </w:r>
      <w:proofErr w:type="spellEnd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do SP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práce na elektrickém zařízení</w:t>
      </w:r>
      <w:r w:rsidR="00043CF1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pod napětím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. </w:t>
      </w:r>
    </w:p>
    <w:p w:rsidR="00E514B0" w:rsidRPr="00520F85" w:rsidRDefault="00E514B0" w:rsidP="003B00A4">
      <w:pPr>
        <w:tabs>
          <w:tab w:val="num" w:pos="1849"/>
        </w:tabs>
        <w:autoSpaceDE w:val="0"/>
        <w:autoSpaceDN w:val="0"/>
        <w:adjustRightInd w:val="0"/>
        <w:ind w:left="540" w:right="276"/>
        <w:jc w:val="both"/>
        <w:rPr>
          <w:rFonts w:asciiTheme="majorHAnsi" w:hAnsiTheme="majorHAnsi"/>
          <w:color w:val="000000"/>
          <w:sz w:val="21"/>
          <w:szCs w:val="21"/>
        </w:rPr>
      </w:pPr>
    </w:p>
    <w:p w:rsidR="00E514B0" w:rsidRPr="00520F85" w:rsidRDefault="00E514B0" w:rsidP="003B00A4">
      <w:pPr>
        <w:tabs>
          <w:tab w:val="num" w:pos="1849"/>
        </w:tabs>
        <w:autoSpaceDE w:val="0"/>
        <w:autoSpaceDN w:val="0"/>
        <w:adjustRightInd w:val="0"/>
        <w:ind w:left="540" w:right="276"/>
        <w:jc w:val="both"/>
        <w:rPr>
          <w:rFonts w:asciiTheme="majorHAnsi" w:hAnsiTheme="majorHAnsi"/>
          <w:color w:val="000000"/>
          <w:sz w:val="21"/>
          <w:szCs w:val="21"/>
        </w:rPr>
      </w:pPr>
    </w:p>
    <w:p w:rsidR="00E514B0" w:rsidRPr="00520F85" w:rsidRDefault="00E514B0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Minimální osobní ochranné prostředky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ochranné brýle;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pracovní oděv s vyznačením organizace dodavatele resp. jeho subdodavatele;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bezpečnostní obuv kategorie S1 při ruční manipulaci s břemeny;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pracovní rukavice, jsou-li nutné k ochraně před fyzikálními, chemickými nebo biologickými nebezpečími;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ochranný štít při práci spojené s nebezpečím zasažení oka odlétávajícími částicemi nebo střepy; </w:t>
      </w:r>
    </w:p>
    <w:p w:rsidR="006D62DE" w:rsidRPr="00520F85" w:rsidRDefault="006D62DE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svářečská kukla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prostředky osobního zajištění proti pádu při práci ve výškách mimo bezpečné lávky nebo lešení. </w:t>
      </w:r>
    </w:p>
    <w:p w:rsidR="00E514B0" w:rsidRPr="00520F85" w:rsidRDefault="00E514B0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Přenášení povinností na další subdodavatele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dodavatel je povinen, pokud si ke splnění sjednané práce najme subdodavatele, přenést tyto bezpečnostní povinnosti dále na tohoto subdodavatele a to prokazatelně písemnou formou; 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na požádání je primární dodavatel povinen předložit příslušné doklady o přenesení těchto povinností; 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odpovědnost za škody ve vztahu ke společnosti spočívá vždy na primárním dodavateli; 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lastRenderedPageBreak/>
        <w:t xml:space="preserve">vypořádání odpovědnosti za škody mezi dodavatelem a jeho subdodavateli je věcí primárního dodavatele. </w:t>
      </w:r>
    </w:p>
    <w:p w:rsidR="00E514B0" w:rsidRPr="00520F85" w:rsidRDefault="00E514B0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Základní vybavení</w:t>
      </w:r>
    </w:p>
    <w:p w:rsidR="003B00A4" w:rsidRPr="00520F85" w:rsidRDefault="00E514B0" w:rsidP="00E514B0">
      <w:pPr>
        <w:pStyle w:val="Zkladntext"/>
        <w:numPr>
          <w:ilvl w:val="0"/>
          <w:numId w:val="25"/>
        </w:numPr>
        <w:tabs>
          <w:tab w:val="left" w:pos="707"/>
        </w:tabs>
        <w:rPr>
          <w:rFonts w:asciiTheme="majorHAnsi" w:hAnsiTheme="majorHAnsi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dodavatel je povinen používat ke splnění sjednané práce </w:t>
      </w:r>
      <w:r w:rsidR="007D2E63"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pouze 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vlastní základní vybavení, jedná se zejména o: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hAnsiTheme="majorHAnsi"/>
        </w:rPr>
        <w:t xml:space="preserve">- 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nářadí, nástroje, přístroje, 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hasicí přístroje, pokud provádí požárně nebezpečnou činnost,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žebříky, dvojité žebříky, manipulační vozíky,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pracovní pomůcky (měřidla, přípravky apod.),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technické plyny, jsou-li nutné ke splnění sjednaného kontraktu,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prostředky pro bezpečnostní vyznačení (vymezení) místa práce.</w:t>
      </w:r>
    </w:p>
    <w:p w:rsidR="00E514B0" w:rsidRPr="00520F85" w:rsidRDefault="00E514B0" w:rsidP="003B00A4">
      <w:pPr>
        <w:pStyle w:val="Zkladntext"/>
        <w:numPr>
          <w:ilvl w:val="0"/>
          <w:numId w:val="25"/>
        </w:numPr>
        <w:tabs>
          <w:tab w:val="left" w:pos="707"/>
        </w:tabs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výše uvedené základní vybavení musí odpovídat podmínkám a prostředí, v jakém budou používány; </w:t>
      </w:r>
    </w:p>
    <w:p w:rsidR="00E514B0" w:rsidRPr="00520F85" w:rsidRDefault="00E514B0" w:rsidP="003B00A4">
      <w:pPr>
        <w:pStyle w:val="Zkladntext"/>
        <w:numPr>
          <w:ilvl w:val="0"/>
          <w:numId w:val="25"/>
        </w:numPr>
        <w:tabs>
          <w:tab w:val="left" w:pos="707"/>
        </w:tabs>
        <w:rPr>
          <w:rFonts w:asciiTheme="majorHAnsi" w:hAnsiTheme="majorHAnsi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v případě, že pro splnění sjednané práce bude nezbytné použít prostředky společnosti (např. jeřáb, VZV), musí být tato okolnost předem projednána a schválena pověřeným zástupcem nebo osobou odpovědnou za BOZP a PO, včetně určení obsluhy, signálů a odpovědnosti za případnou škodu.</w:t>
      </w:r>
      <w:r w:rsidRPr="00520F85">
        <w:rPr>
          <w:rFonts w:asciiTheme="majorHAnsi" w:hAnsiTheme="majorHAnsi"/>
        </w:rPr>
        <w:t xml:space="preserve"> </w:t>
      </w:r>
    </w:p>
    <w:p w:rsidR="00E514B0" w:rsidRPr="00520F85" w:rsidRDefault="00153F29" w:rsidP="00C50298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Zaměstnanci PPG nesmějí zapůjčovat jakékoliv nářadí/stroje</w:t>
      </w:r>
      <w:r w:rsidR="009E410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/</w:t>
      </w: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zařízení</w:t>
      </w:r>
      <w:r w:rsidR="009E410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 xml:space="preserve"> dodavatelům.</w:t>
      </w:r>
    </w:p>
    <w:p w:rsidR="0053354A" w:rsidRPr="00520F85" w:rsidRDefault="0053354A" w:rsidP="007C56B3">
      <w:pPr>
        <w:autoSpaceDE w:val="0"/>
        <w:autoSpaceDN w:val="0"/>
        <w:adjustRightInd w:val="0"/>
        <w:spacing w:after="120"/>
        <w:ind w:right="278"/>
        <w:jc w:val="both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</w:p>
    <w:p w:rsidR="00747D27" w:rsidRPr="00520F85" w:rsidRDefault="00747D27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Pravidla pro návštěvy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vždy informujte strážní službu o vaší návštěvě, noste na viditelném místě průkazku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ve výrobních prostorách se pohybujte pouze v doprovodu zaměstnance společnosti;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1418" w:hanging="711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nevstupujte do výrobních prostor bez uzavřené obuvi a dlouhých nohavic - žádné sandály apod. nejsou dovoleny;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1418" w:hanging="711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>při návštěvě ve výrobním prostoru vždy noste ochranné brýle případně další OOPP dle značení na vstupních dveřích konkrétních prostor;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pohybujte se pouze po vyznačených cestách;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1418" w:hanging="711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sledujte vnitřní dopravu - ve výrobních prostorách se pohybují téměř vždy nějaké </w:t>
      </w:r>
      <w:r w:rsidR="006E41E0"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dopravní prostředky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dodržujte pokyny dané bezpečnostními tabulkami.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 celém areálu je nejvyšší povolená rychlost 20 km/h. </w:t>
      </w:r>
    </w:p>
    <w:p w:rsidR="003B00A4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 případě požáru či evakuace se řiďte pokyny doprovodu; </w:t>
      </w:r>
    </w:p>
    <w:p w:rsidR="00747D27" w:rsidRPr="00520F85" w:rsidRDefault="003B00A4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</w:r>
      <w:r w:rsidR="00747D27"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v celém areálu je zakázáno pořizovat fotografie nebo videozáznamy;</w:t>
      </w:r>
    </w:p>
    <w:p w:rsidR="006E77B1" w:rsidRPr="00520F85" w:rsidRDefault="006E77B1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Ostatní podmínky</w:t>
      </w:r>
    </w:p>
    <w:p w:rsidR="006E77B1" w:rsidRPr="00520F85" w:rsidRDefault="0033688F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 xml:space="preserve">PPG Deco Czech </w:t>
      </w:r>
      <w:r w:rsidR="007C56B3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 xml:space="preserve">a.s. </w:t>
      </w:r>
      <w:r w:rsidR="006E77B1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se zavazuje: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Zajistit dodavateli přístup na pracoviště.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Odevzdat dodavateli prostor pro provedení díla prosté práv třetích osob 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v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tak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ovém stavu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aby dodavatel mohl zahájit a provádět práce v rozsahu a za podmínek stanovených t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ěmito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sadami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lastRenderedPageBreak/>
        <w:t xml:space="preserve">Zabezpečit spolupráci svých a 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dalších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externích pracovníků s pracovníky dodavatele v příp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dech, kdy dojde k souběhu provádění prací s jinými dodavateli nebo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zaměstna</w:t>
      </w:r>
      <w:r w:rsidR="0005559B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ci 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Předat dodavateli ke dni zahájení provádění prací dle předmětu smlouvy nezbytně nutné fo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muláře a podklady k zajištění provádění jeho činnosti pro objednavatele.</w:t>
      </w:r>
    </w:p>
    <w:p w:rsidR="006E77B1" w:rsidRPr="00520F85" w:rsidRDefault="006E77B1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Dodavatel se zavazuje:</w:t>
      </w:r>
    </w:p>
    <w:p w:rsidR="000110F6" w:rsidRPr="00520F85" w:rsidRDefault="006E77B1" w:rsidP="006E41E0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Umožnit na svá pracoviště a do užívaných prostor povolit vstup oprávněných zaměstnanců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kteří provádějí dozor (audit),</w:t>
      </w:r>
      <w:r w:rsidR="0005559B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bát jejich pokynů a poskytnout jim žádané informace. </w:t>
      </w:r>
    </w:p>
    <w:p w:rsidR="006E77B1" w:rsidRPr="00520F85" w:rsidRDefault="006E77B1" w:rsidP="000110F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Ke zjištěným ned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ostatkům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v oblasti dodržování zákonných předpisů stanovit nápravná opa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ření a tato ve stanoveném termínu realizovat. </w:t>
      </w:r>
    </w:p>
    <w:p w:rsidR="008A0936" w:rsidRPr="00520F85" w:rsidRDefault="008A0936" w:rsidP="0015794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Dodržovat zákaz kouř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ení v celém areálu 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</w:p>
    <w:p w:rsidR="006E77B1" w:rsidRPr="00520F85" w:rsidRDefault="006E77B1" w:rsidP="0015794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 průběhu prací vést denní záznamy ve stavebním deníku podle právních předpisů, do kter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é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ho je </w:t>
      </w:r>
      <w:r w:rsidR="00B7062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PPG Deco Czech a.s.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oprávněn zapisovat své připomínky a požadavky.</w:t>
      </w:r>
    </w:p>
    <w:p w:rsidR="006E77B1" w:rsidRPr="00520F85" w:rsidRDefault="006E77B1" w:rsidP="000110F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Pokud dojde při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činnosti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dodavatele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 jeho strany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k poškození majetku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nebo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třetích osob, provede dodavatel neprodleně opravu poškozeného majetku na vlastní 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klad nebo s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poškozeným dohodne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 3 dnů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jiné řešení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.</w:t>
      </w:r>
    </w:p>
    <w:p w:rsidR="006E77B1" w:rsidRPr="00520F85" w:rsidRDefault="006E77B1" w:rsidP="000110F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Dodavatel se zavazuje udržovat pořádek na staveništi a komunikacích, které používá při své činnosti. V případě nesplnění závazku ani po upozornění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je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tento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oprá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něn zajistit pořádek na náklady dodavatele.</w:t>
      </w:r>
    </w:p>
    <w:p w:rsidR="006E77B1" w:rsidRPr="00520F85" w:rsidRDefault="006E77B1" w:rsidP="005468C0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Dodavatel se zavazuje, </w:t>
      </w:r>
      <w:r w:rsidR="00A613B0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jako původce odpadu,</w:t>
      </w:r>
      <w:r w:rsidR="00A613B0" w:rsidRPr="00520F85">
        <w:rPr>
          <w:rFonts w:asciiTheme="majorHAnsi" w:hAnsiTheme="majorHAnsi" w:cs="Times New Roman"/>
          <w:b w:val="0"/>
          <w:bCs w:val="0"/>
          <w:i w:val="0"/>
          <w:iCs w:val="0"/>
          <w:color w:val="0000FF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že v souladu se zákonem o odpadech zneškodní veškeré odpady vzniklé při vykonávání předmětu díla na vlastní náklady. Prohlašuje, že vl</w:t>
      </w:r>
      <w:r w:rsidR="005C620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as</w:t>
      </w:r>
      <w:r w:rsidR="005C620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</w:t>
      </w:r>
      <w:r w:rsidR="005C620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ní rozhodnutí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příslušného orgánu státní správy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o oprávnění k nakládání s odpady nebo toto nakládání s odpady má zajištěno firmou vlastnící toto rozhodnutí. </w:t>
      </w:r>
    </w:p>
    <w:p w:rsidR="0053354A" w:rsidRPr="00520F85" w:rsidRDefault="0053354A" w:rsidP="005468C0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 provede do stavebního / montážního deníku nebo jiné dokumentace zápis o zašk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lení svých zaměstnanců a zaměstnanců subdodavatelů o dodržování zásad ochrany ŽP, BOZP a PO.</w:t>
      </w:r>
    </w:p>
    <w:p w:rsidR="000110F6" w:rsidRPr="00520F85" w:rsidRDefault="000110F6" w:rsidP="005468C0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8C2BFD" w:rsidRPr="00520F85" w:rsidRDefault="008C2BFD" w:rsidP="003B00A4">
      <w:pPr>
        <w:pStyle w:val="Odstavecseseznamem"/>
        <w:numPr>
          <w:ilvl w:val="0"/>
          <w:numId w:val="3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120"/>
        <w:ind w:right="278" w:hanging="720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>Přílohy</w:t>
      </w:r>
    </w:p>
    <w:p w:rsidR="007D7DF0" w:rsidRPr="00632203" w:rsidRDefault="007D7DF0" w:rsidP="007D7DF0">
      <w:pPr>
        <w:numPr>
          <w:ilvl w:val="0"/>
          <w:numId w:val="28"/>
        </w:numPr>
        <w:tabs>
          <w:tab w:val="clear" w:pos="1065"/>
          <w:tab w:val="num" w:pos="709"/>
        </w:tabs>
        <w:autoSpaceDE w:val="0"/>
        <w:autoSpaceDN w:val="0"/>
        <w:adjustRightInd w:val="0"/>
        <w:ind w:right="276" w:hanging="923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Povolení práce </w:t>
      </w:r>
      <w:r w:rsidRPr="00632203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dodavatele</w:t>
      </w:r>
      <w:r w:rsidR="00520F85" w:rsidRPr="00632203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 ZA</w:t>
      </w:r>
      <w:r w:rsidR="00632203" w:rsidRPr="00632203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/140</w:t>
      </w:r>
    </w:p>
    <w:p w:rsidR="008C2BFD" w:rsidRPr="00520F85" w:rsidRDefault="008C2BFD" w:rsidP="003B00A4">
      <w:pPr>
        <w:numPr>
          <w:ilvl w:val="0"/>
          <w:numId w:val="28"/>
        </w:numPr>
        <w:tabs>
          <w:tab w:val="clear" w:pos="1065"/>
          <w:tab w:val="num" w:pos="709"/>
        </w:tabs>
        <w:autoSpaceDE w:val="0"/>
        <w:autoSpaceDN w:val="0"/>
        <w:adjustRightInd w:val="0"/>
        <w:ind w:right="276" w:hanging="923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PX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letak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bezpecnost_tisk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2013</w:t>
      </w:r>
    </w:p>
    <w:p w:rsidR="00665DDC" w:rsidRPr="00520F85" w:rsidRDefault="00665DDC" w:rsidP="00665DDC">
      <w:pPr>
        <w:autoSpaceDE w:val="0"/>
        <w:autoSpaceDN w:val="0"/>
        <w:adjustRightInd w:val="0"/>
        <w:ind w:left="1065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13E9B" w:rsidRPr="00520F85" w:rsidRDefault="00665DDC" w:rsidP="00013E9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right="278" w:hanging="720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>Související dokumenty</w:t>
      </w:r>
      <w:r w:rsidR="00013E9B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 xml:space="preserve"> umístěné na </w:t>
      </w:r>
      <w:hyperlink r:id="rId9" w:history="1">
        <w:r w:rsidR="00013E9B" w:rsidRPr="00520F85">
          <w:rPr>
            <w:rStyle w:val="Hypertextovodkaz"/>
            <w:rFonts w:asciiTheme="majorHAnsi" w:hAnsiTheme="majorHAnsi" w:cs="Times New Roman"/>
            <w:bCs w:val="0"/>
            <w:i w:val="0"/>
            <w:iCs w:val="0"/>
            <w:sz w:val="27"/>
            <w:szCs w:val="27"/>
          </w:rPr>
          <w:t>http://www.ppgdeco.cz/</w:t>
        </w:r>
      </w:hyperlink>
      <w:r w:rsidR="00013E9B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 xml:space="preserve"> a </w:t>
      </w:r>
      <w:hyperlink r:id="rId10" w:history="1">
        <w:r w:rsidR="00013E9B" w:rsidRPr="00520F85">
          <w:rPr>
            <w:rStyle w:val="Hypertextovodkaz"/>
            <w:rFonts w:asciiTheme="majorHAnsi" w:hAnsiTheme="majorHAnsi" w:cs="Times New Roman"/>
            <w:bCs w:val="0"/>
            <w:i w:val="0"/>
            <w:iCs w:val="0"/>
            <w:sz w:val="27"/>
            <w:szCs w:val="27"/>
          </w:rPr>
          <w:t>http://www.primalex.cz/</w:t>
        </w:r>
      </w:hyperlink>
    </w:p>
    <w:p w:rsidR="00013E9B" w:rsidRPr="00520F85" w:rsidRDefault="00013E9B" w:rsidP="00013E9B">
      <w:pPr>
        <w:pStyle w:val="Odstavecseseznamem"/>
        <w:autoSpaceDE w:val="0"/>
        <w:autoSpaceDN w:val="0"/>
        <w:adjustRightInd w:val="0"/>
        <w:spacing w:after="120"/>
        <w:ind w:left="142"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02 13_ Příloha 5 -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zasady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prvni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pomoci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č.4_Pokyny pro cizí osoby 2012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gram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č.5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A_Pokyny</w:t>
      </w:r>
      <w:proofErr w:type="spellEnd"/>
      <w:proofErr w:type="gram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cizí řidiče (rampa) 2012_CZ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gram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č.5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B_Pokyny</w:t>
      </w:r>
      <w:proofErr w:type="spellEnd"/>
      <w:proofErr w:type="gram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cizí řidiče (mimo ra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pu)_plachtove_2012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gram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č.5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C_Pokyny</w:t>
      </w:r>
      <w:proofErr w:type="spellEnd"/>
      <w:proofErr w:type="gram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cizí řidiče (mimo rampu)_cisterny_2012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č.5A_Standard foto na rampě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č.5B_Standard foto mimo rampu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č.5C_Standard foto cisterny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 HS PP 002 11_Předávání dokumentace k chemickým l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átkám a směsím a rizikům z nich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pl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noucích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 HS PP 004 12_Práce s otevřeným ohněm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I VY PP 034 12 Pracovní </w:t>
      </w:r>
      <w:proofErr w:type="spellStart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postup_LOTO</w:t>
      </w:r>
      <w:proofErr w:type="spellEnd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LB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lastRenderedPageBreak/>
        <w:t xml:space="preserve">I VY PP 035 10 Pracovní </w:t>
      </w:r>
      <w:proofErr w:type="spellStart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postup_vstup</w:t>
      </w:r>
      <w:proofErr w:type="spellEnd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do SP</w:t>
      </w:r>
    </w:p>
    <w:p w:rsidR="00A52071" w:rsidRPr="00520F85" w:rsidRDefault="00A52071" w:rsidP="00665DDC">
      <w:pPr>
        <w:numPr>
          <w:ilvl w:val="0"/>
          <w:numId w:val="30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 HS PP 010 13_Pracovní postup práce ve výškách</w:t>
      </w:r>
    </w:p>
    <w:p w:rsidR="00A52071" w:rsidRPr="00520F85" w:rsidRDefault="00A52071" w:rsidP="003B00A4">
      <w:pPr>
        <w:autoSpaceDE w:val="0"/>
        <w:autoSpaceDN w:val="0"/>
        <w:adjustRightInd w:val="0"/>
        <w:ind w:left="1065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6C24EA" w:rsidRPr="00520F85" w:rsidRDefault="006C24EA" w:rsidP="003B00A4">
      <w:pPr>
        <w:autoSpaceDE w:val="0"/>
        <w:autoSpaceDN w:val="0"/>
        <w:adjustRightInd w:val="0"/>
        <w:ind w:left="142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110F6" w:rsidRPr="00520F85" w:rsidRDefault="000110F6" w:rsidP="000110F6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br w:type="page"/>
      </w:r>
    </w:p>
    <w:p w:rsidR="00855283" w:rsidRPr="00520F85" w:rsidRDefault="00855283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</w:p>
    <w:p w:rsidR="006E77B1" w:rsidRPr="00520F85" w:rsidRDefault="006E77B1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Základní telefonní čísla: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720"/>
        <w:gridCol w:w="3420"/>
        <w:gridCol w:w="1748"/>
      </w:tblGrid>
      <w:tr w:rsidR="000072A9" w:rsidRPr="00520F85" w:rsidTr="000A0799">
        <w:tc>
          <w:tcPr>
            <w:tcW w:w="442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072A9" w:rsidRPr="00520F85" w:rsidRDefault="00855283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center"/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</w:pPr>
            <w:r w:rsidRPr="00520F85"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  <w:t>Interní čísla PPG Deco Czech a.s.</w:t>
            </w:r>
          </w:p>
        </w:tc>
        <w:tc>
          <w:tcPr>
            <w:tcW w:w="51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0072A9" w:rsidRPr="00520F85" w:rsidRDefault="00602499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center"/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</w:pPr>
            <w:r w:rsidRPr="00520F85"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  <w:t>Stá</w:t>
            </w:r>
            <w:r w:rsidR="000072A9" w:rsidRPr="00520F85"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  <w:t>tní telefonní čísla</w:t>
            </w:r>
          </w:p>
        </w:tc>
      </w:tr>
      <w:tr w:rsidR="000A0799" w:rsidRPr="00520F85" w:rsidTr="000A0799">
        <w:tc>
          <w:tcPr>
            <w:tcW w:w="3708" w:type="dxa"/>
            <w:tcBorders>
              <w:top w:val="single" w:sz="4" w:space="0" w:color="auto"/>
              <w:bottom w:val="dotted" w:sz="4" w:space="0" w:color="auto"/>
            </w:tcBorders>
          </w:tcPr>
          <w:p w:rsidR="006203FA" w:rsidRPr="00520F85" w:rsidRDefault="003C6F91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M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anažer výrobního závodu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Tísňové volání</w:t>
            </w:r>
          </w:p>
        </w:tc>
        <w:tc>
          <w:tcPr>
            <w:tcW w:w="1748" w:type="dxa"/>
            <w:tcBorders>
              <w:top w:val="single" w:sz="4" w:space="0" w:color="auto"/>
              <w:bottom w:val="dotted" w:sz="4" w:space="0" w:color="auto"/>
            </w:tcBorders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0 112</w:t>
            </w:r>
          </w:p>
        </w:tc>
      </w:tr>
      <w:tr w:rsidR="00563847" w:rsidRPr="00520F85" w:rsidTr="000A0799">
        <w:tc>
          <w:tcPr>
            <w:tcW w:w="3708" w:type="dxa"/>
            <w:tcBorders>
              <w:top w:val="dotted" w:sz="4" w:space="0" w:color="auto"/>
            </w:tcBorders>
          </w:tcPr>
          <w:p w:rsidR="00563847" w:rsidRPr="00520F85" w:rsidRDefault="003C6F91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F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inanční ředitel a.s.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121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Hlášení požáru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0 150</w:t>
            </w:r>
          </w:p>
        </w:tc>
      </w:tr>
      <w:tr w:rsidR="00563847" w:rsidRPr="00520F85" w:rsidTr="00563847">
        <w:tc>
          <w:tcPr>
            <w:tcW w:w="3708" w:type="dxa"/>
            <w:tcBorders>
              <w:top w:val="dotted" w:sz="4" w:space="0" w:color="auto"/>
            </w:tcBorders>
            <w:vAlign w:val="center"/>
          </w:tcPr>
          <w:p w:rsidR="00563847" w:rsidRPr="00520F85" w:rsidRDefault="003C6F91" w:rsidP="00563847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ind w:right="27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istr údržby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243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Záchranná služba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0 155</w:t>
            </w:r>
          </w:p>
        </w:tc>
      </w:tr>
      <w:tr w:rsidR="00563847" w:rsidRPr="00520F85" w:rsidTr="000A0799">
        <w:tc>
          <w:tcPr>
            <w:tcW w:w="3708" w:type="dxa"/>
            <w:tcBorders>
              <w:top w:val="dotted" w:sz="4" w:space="0" w:color="auto"/>
            </w:tcBorders>
          </w:tcPr>
          <w:p w:rsidR="00563847" w:rsidRPr="00520F85" w:rsidRDefault="003C6F91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echanik a.s., techn. dozor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110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Hasiči Radnice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0 371 722 244</w:t>
            </w:r>
          </w:p>
        </w:tc>
      </w:tr>
      <w:tr w:rsidR="00563847" w:rsidRPr="00520F85" w:rsidTr="000A0799">
        <w:tc>
          <w:tcPr>
            <w:tcW w:w="3708" w:type="dxa"/>
            <w:tcBorders>
              <w:top w:val="dotted" w:sz="4" w:space="0" w:color="auto"/>
            </w:tcBorders>
          </w:tcPr>
          <w:p w:rsidR="00563847" w:rsidRPr="00520F85" w:rsidRDefault="003C6F91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B86781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anažer EHS</w:t>
            </w:r>
            <w:r w:rsidR="00C321DB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, manažer BOZP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215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Hasiči Břasy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0 371 791 012</w:t>
            </w:r>
          </w:p>
        </w:tc>
      </w:tr>
      <w:tr w:rsidR="000A0799" w:rsidRPr="00520F85" w:rsidTr="000A0799">
        <w:tc>
          <w:tcPr>
            <w:tcW w:w="3708" w:type="dxa"/>
          </w:tcPr>
          <w:p w:rsidR="006203FA" w:rsidRPr="00520F85" w:rsidRDefault="003C6F91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B25E72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anažer správy majetku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6203FA" w:rsidRPr="00520F85" w:rsidRDefault="00B25E72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118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6203FA" w:rsidRPr="00520F85" w:rsidRDefault="00C321DB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Smluvní lékař – P</w:t>
            </w:r>
            <w:r w:rsidR="006203FA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rvní pomoc</w:t>
            </w:r>
          </w:p>
        </w:tc>
        <w:tc>
          <w:tcPr>
            <w:tcW w:w="1748" w:type="dxa"/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0 371 791 075</w:t>
            </w:r>
          </w:p>
        </w:tc>
      </w:tr>
      <w:tr w:rsidR="00BC064D" w:rsidRPr="00520F85" w:rsidTr="000A0799">
        <w:tc>
          <w:tcPr>
            <w:tcW w:w="3708" w:type="dxa"/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 xml:space="preserve">Ohlašovna požárů – vrátnice 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112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</w:p>
        </w:tc>
        <w:tc>
          <w:tcPr>
            <w:tcW w:w="1748" w:type="dxa"/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</w:p>
        </w:tc>
      </w:tr>
    </w:tbl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7A1BF8" w:rsidRPr="00520F85" w:rsidRDefault="007A1BF8" w:rsidP="007A1BF8">
      <w:pPr>
        <w:autoSpaceDE w:val="0"/>
        <w:autoSpaceDN w:val="0"/>
        <w:adjustRightInd w:val="0"/>
        <w:ind w:right="276"/>
        <w:jc w:val="both"/>
        <w:rPr>
          <w:rFonts w:asciiTheme="majorHAnsi" w:hAnsiTheme="majorHAnsi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Datum:                                                                                         Datum:</w:t>
      </w: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E1443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8B79BA" w:rsidRPr="00520F85" w:rsidRDefault="008B79BA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…………………………………..</w:t>
      </w:r>
    </w:p>
    <w:p w:rsidR="007A1BF8" w:rsidRPr="00520F85" w:rsidRDefault="007A1BF8" w:rsidP="00AD2422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outlineLvl w:val="0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Dodavatel</w:t>
      </w:r>
    </w:p>
    <w:p w:rsidR="00D34A53" w:rsidRPr="00520F85" w:rsidRDefault="007A1BF8" w:rsidP="007A1BF8">
      <w:pPr>
        <w:tabs>
          <w:tab w:val="center" w:pos="927"/>
          <w:tab w:val="left" w:pos="1211"/>
          <w:tab w:val="left" w:pos="2628"/>
          <w:tab w:val="left" w:pos="5400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  <w:t>…………………………………</w:t>
      </w:r>
      <w:r w:rsidR="00C84C5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                                         ………………</w:t>
      </w:r>
      <w:r w:rsidR="007E144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</w:t>
      </w:r>
    </w:p>
    <w:p w:rsidR="007A1BF8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Jméno a p</w:t>
      </w:r>
      <w:r w:rsidR="007A1BF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odpis zástupce </w:t>
      </w:r>
      <w:proofErr w:type="gramStart"/>
      <w:r w:rsidR="007A1BF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dodavatele                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                          </w:t>
      </w:r>
      <w:r w:rsidR="00C84C5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  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Podpis</w:t>
      </w:r>
      <w:proofErr w:type="gramEnd"/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zástupce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</w:p>
    <w:p w:rsidR="00D34A53" w:rsidRPr="00520F85" w:rsidRDefault="00D34A5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8B79BA" w:rsidRPr="00520F85" w:rsidRDefault="008B79BA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8B79BA" w:rsidRPr="00520F85" w:rsidRDefault="008B79BA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D34A5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Jména a podpisy pracovníků dodavatele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D34A5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…………………………………………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…………………………………………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0072A9" w:rsidRPr="00520F85" w:rsidRDefault="000072A9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072A9" w:rsidRPr="00520F85" w:rsidRDefault="000072A9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sectPr w:rsidR="000110F6" w:rsidRPr="00520F85" w:rsidSect="006F58D4">
      <w:headerReference w:type="default" r:id="rId11"/>
      <w:pgSz w:w="12240" w:h="15840"/>
      <w:pgMar w:top="1418" w:right="1440" w:bottom="1077" w:left="1344" w:header="709" w:footer="709" w:gutter="0"/>
      <w:cols w:space="708"/>
      <w:noEndnote/>
      <w:titlePg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separator/>
      </w:r>
    </w:p>
  </w:endnote>
  <w:endnote w:type="continuationSeparator" w:id="0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separator/>
      </w:r>
    </w:p>
  </w:footnote>
  <w:footnote w:type="continuationSeparator" w:id="0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384"/>
      <w:gridCol w:w="1134"/>
      <w:gridCol w:w="2161"/>
      <w:gridCol w:w="249"/>
      <w:gridCol w:w="2054"/>
    </w:tblGrid>
    <w:tr w:rsidR="00F66ACE" w:rsidRPr="00D34A53">
      <w:trPr>
        <w:cantSplit/>
      </w:trPr>
      <w:tc>
        <w:tcPr>
          <w:tcW w:w="3614" w:type="dxa"/>
          <w:gridSpan w:val="2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b w:val="0"/>
              <w:i w:val="0"/>
              <w:sz w:val="21"/>
              <w:szCs w:val="21"/>
            </w:rPr>
          </w:pPr>
          <w:r w:rsidRPr="00855283">
            <w:rPr>
              <w:rFonts w:ascii="Times New Roman" w:hAnsi="Times New Roman"/>
              <w:b w:val="0"/>
              <w:i w:val="0"/>
              <w:noProof/>
              <w:sz w:val="21"/>
              <w:szCs w:val="21"/>
            </w:rPr>
            <w:drawing>
              <wp:anchor distT="0" distB="0" distL="114300" distR="114300" simplePos="0" relativeHeight="251659264" behindDoc="0" locked="0" layoutInCell="1" allowOverlap="1" wp14:anchorId="7F6C2CD1" wp14:editId="74004702">
                <wp:simplePos x="0" y="0"/>
                <wp:positionH relativeFrom="column">
                  <wp:posOffset>41910</wp:posOffset>
                </wp:positionH>
                <wp:positionV relativeFrom="paragraph">
                  <wp:posOffset>-2539</wp:posOffset>
                </wp:positionV>
                <wp:extent cx="2133600" cy="323850"/>
                <wp:effectExtent l="19050" t="0" r="0" b="0"/>
                <wp:wrapNone/>
                <wp:docPr id="3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6140" cy="3242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  <w:vAlign w:val="center"/>
        </w:tcPr>
        <w:p w:rsidR="00F66ACE" w:rsidRPr="00D34A53" w:rsidRDefault="00F66ACE" w:rsidP="00166C9A">
          <w:pPr>
            <w:pStyle w:val="Zhlav"/>
            <w:spacing w:before="20" w:after="20"/>
            <w:jc w:val="center"/>
            <w:rPr>
              <w:rFonts w:ascii="Times New Roman" w:hAnsi="Times New Roman"/>
              <w:b w:val="0"/>
              <w:bCs w:val="0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b w:val="0"/>
              <w:bCs w:val="0"/>
              <w:i w:val="0"/>
              <w:sz w:val="20"/>
            </w:rPr>
            <w:t>Řízený</w:t>
          </w:r>
          <w:r w:rsidRPr="00D34A53">
            <w:rPr>
              <w:rFonts w:ascii="Times New Roman" w:hAnsi="Times New Roman"/>
              <w:b w:val="0"/>
              <w:bCs w:val="0"/>
              <w:i w:val="0"/>
              <w:sz w:val="20"/>
            </w:rPr>
            <w:br/>
            <w:t>výtisk</w:t>
          </w:r>
        </w:p>
      </w:tc>
      <w:tc>
        <w:tcPr>
          <w:tcW w:w="2161" w:type="dxa"/>
          <w:vAlign w:val="center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Číslo dokumentu:</w:t>
          </w:r>
        </w:p>
        <w:p w:rsidR="00F66ACE" w:rsidRPr="00D34A53" w:rsidRDefault="00F66ACE" w:rsidP="00756D9A">
          <w:pPr>
            <w:pStyle w:val="Zhlav"/>
            <w:spacing w:before="20" w:after="20"/>
            <w:rPr>
              <w:rFonts w:ascii="Times New Roman" w:hAnsi="Times New Roman"/>
              <w:b w:val="0"/>
              <w:bCs w:val="0"/>
              <w:i w:val="0"/>
              <w:sz w:val="20"/>
            </w:rPr>
          </w:pPr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I MM OS 02 1</w:t>
          </w:r>
          <w:r w:rsidR="00756D9A">
            <w:rPr>
              <w:rFonts w:ascii="Times New Roman" w:hAnsi="Times New Roman"/>
              <w:b w:val="0"/>
              <w:bCs w:val="0"/>
              <w:i w:val="0"/>
              <w:sz w:val="20"/>
            </w:rPr>
            <w:t>3</w:t>
          </w:r>
        </w:p>
      </w:tc>
      <w:tc>
        <w:tcPr>
          <w:tcW w:w="2303" w:type="dxa"/>
          <w:gridSpan w:val="2"/>
          <w:vAlign w:val="center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Datum účinnosti:</w:t>
          </w:r>
        </w:p>
        <w:p w:rsidR="00F66ACE" w:rsidRPr="00D34A53" w:rsidRDefault="00520F85" w:rsidP="00520F85">
          <w:pPr>
            <w:pStyle w:val="Zhlav"/>
            <w:spacing w:before="20" w:after="20"/>
            <w:rPr>
              <w:rFonts w:ascii="Times New Roman" w:hAnsi="Times New Roman"/>
              <w:b w:val="0"/>
              <w:bCs w:val="0"/>
              <w:i w:val="0"/>
              <w:sz w:val="21"/>
              <w:szCs w:val="21"/>
            </w:rPr>
          </w:pPr>
          <w:proofErr w:type="gramStart"/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1</w:t>
          </w:r>
          <w:r w:rsidR="00F66ACE">
            <w:rPr>
              <w:rFonts w:ascii="Times New Roman" w:hAnsi="Times New Roman"/>
              <w:b w:val="0"/>
              <w:bCs w:val="0"/>
              <w:i w:val="0"/>
              <w:sz w:val="20"/>
            </w:rPr>
            <w:t xml:space="preserve"> . </w:t>
          </w:r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září</w:t>
          </w:r>
          <w:proofErr w:type="gramEnd"/>
          <w:r w:rsidR="00F66ACE">
            <w:rPr>
              <w:rFonts w:ascii="Times New Roman" w:hAnsi="Times New Roman"/>
              <w:b w:val="0"/>
              <w:bCs w:val="0"/>
              <w:i w:val="0"/>
              <w:sz w:val="20"/>
            </w:rPr>
            <w:t xml:space="preserve"> 201</w:t>
          </w:r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3</w:t>
          </w:r>
        </w:p>
      </w:tc>
    </w:tr>
    <w:tr w:rsidR="00F66ACE" w:rsidRPr="00D34A53">
      <w:trPr>
        <w:cantSplit/>
      </w:trPr>
      <w:tc>
        <w:tcPr>
          <w:tcW w:w="2230" w:type="dxa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Název dokumentu:</w:t>
          </w:r>
        </w:p>
      </w:tc>
      <w:tc>
        <w:tcPr>
          <w:tcW w:w="4928" w:type="dxa"/>
          <w:gridSpan w:val="4"/>
        </w:tcPr>
        <w:p w:rsidR="00F66ACE" w:rsidRPr="00D34A53" w:rsidRDefault="00F66ACE" w:rsidP="00166C9A">
          <w:pPr>
            <w:pStyle w:val="Zhlav"/>
            <w:spacing w:before="40" w:after="20"/>
            <w:jc w:val="center"/>
            <w:rPr>
              <w:rFonts w:ascii="Times New Roman" w:hAnsi="Times New Roman"/>
              <w:b w:val="0"/>
              <w:i w:val="0"/>
              <w:sz w:val="25"/>
              <w:szCs w:val="25"/>
            </w:rPr>
          </w:pPr>
          <w:r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>Nákup</w:t>
          </w:r>
          <w:r w:rsidRPr="00D34A53"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 xml:space="preserve"> </w:t>
          </w:r>
          <w:r w:rsidRPr="00D34A53">
            <w:rPr>
              <w:rFonts w:ascii="Times New Roman" w:hAnsi="Times New Roman" w:cs="Times New Roman"/>
              <w:b w:val="0"/>
              <w:i w:val="0"/>
              <w:sz w:val="21"/>
              <w:szCs w:val="21"/>
            </w:rPr>
            <w:t>/ příloha</w:t>
          </w:r>
          <w:r w:rsidRPr="00D34A53"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 xml:space="preserve"> </w:t>
          </w:r>
          <w:r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>č. 3</w:t>
          </w:r>
        </w:p>
      </w:tc>
      <w:tc>
        <w:tcPr>
          <w:tcW w:w="2054" w:type="dxa"/>
          <w:vAlign w:val="bottom"/>
        </w:tcPr>
        <w:p w:rsidR="00F66ACE" w:rsidRPr="00D34A53" w:rsidRDefault="00F66ACE" w:rsidP="00166C9A">
          <w:pPr>
            <w:pStyle w:val="Zhlav"/>
            <w:spacing w:before="20" w:after="20"/>
            <w:ind w:right="113"/>
            <w:jc w:val="right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Strana č</w:t>
          </w:r>
          <w:r w:rsidRPr="00706CAF">
            <w:rPr>
              <w:rFonts w:ascii="Times New Roman" w:hAnsi="Times New Roman"/>
              <w:b w:val="0"/>
              <w:i w:val="0"/>
              <w:sz w:val="21"/>
              <w:szCs w:val="21"/>
            </w:rPr>
            <w:t xml:space="preserve">. </w:t>
          </w:r>
          <w:r w:rsidR="00F001A9"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fldChar w:fldCharType="begin"/>
          </w:r>
          <w:r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instrText xml:space="preserve"> PAGE </w:instrText>
          </w:r>
          <w:r w:rsidR="00F001A9"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fldChar w:fldCharType="separate"/>
          </w:r>
          <w:r w:rsidR="00756D9A">
            <w:rPr>
              <w:rFonts w:ascii="Times New Roman" w:hAnsi="Times New Roman"/>
              <w:b w:val="0"/>
              <w:i w:val="0"/>
              <w:noProof/>
              <w:color w:val="auto"/>
              <w:sz w:val="21"/>
              <w:szCs w:val="21"/>
            </w:rPr>
            <w:t>2</w:t>
          </w:r>
          <w:r w:rsidR="00F001A9"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fldChar w:fldCharType="end"/>
          </w:r>
          <w:r w:rsidRPr="00706CAF">
            <w:rPr>
              <w:rFonts w:ascii="Times New Roman" w:hAnsi="Times New Roman"/>
              <w:b w:val="0"/>
              <w:i w:val="0"/>
              <w:sz w:val="21"/>
              <w:szCs w:val="21"/>
            </w:rPr>
            <w:t xml:space="preserve"> z</w:t>
          </w:r>
          <w:r w:rsidRPr="00D34A53">
            <w:rPr>
              <w:rFonts w:ascii="Times New Roman" w:hAnsi="Times New Roman"/>
              <w:i w:val="0"/>
              <w:sz w:val="21"/>
              <w:szCs w:val="21"/>
            </w:rPr>
            <w:t xml:space="preserve"> </w:t>
          </w:r>
          <w:r w:rsidR="00F001A9"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fldChar w:fldCharType="begin"/>
          </w:r>
          <w:r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instrText xml:space="preserve"> NUMPAGES </w:instrText>
          </w:r>
          <w:r w:rsidR="00F001A9"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fldChar w:fldCharType="separate"/>
          </w:r>
          <w:r w:rsidR="00756D9A">
            <w:rPr>
              <w:rStyle w:val="slostrnky"/>
              <w:rFonts w:ascii="Times New Roman" w:hAnsi="Times New Roman"/>
              <w:i w:val="0"/>
              <w:noProof/>
              <w:sz w:val="21"/>
              <w:szCs w:val="21"/>
            </w:rPr>
            <w:t>8</w:t>
          </w:r>
          <w:r w:rsidR="00F001A9"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fldChar w:fldCharType="end"/>
          </w:r>
        </w:p>
      </w:tc>
    </w:tr>
  </w:tbl>
  <w:p w:rsidR="00F66ACE" w:rsidRPr="00D34A53" w:rsidRDefault="00F66ACE">
    <w:pPr>
      <w:pStyle w:val="Zhlav"/>
      <w:rPr>
        <w:b w:val="0"/>
        <w:i w:val="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>
    <w:nsid w:val="01100188"/>
    <w:multiLevelType w:val="hybridMultilevel"/>
    <w:tmpl w:val="E76239BE"/>
    <w:lvl w:ilvl="0" w:tplc="9E4C2F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B75B3"/>
    <w:multiLevelType w:val="multilevel"/>
    <w:tmpl w:val="FE6ABAF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C2110AF"/>
    <w:multiLevelType w:val="hybridMultilevel"/>
    <w:tmpl w:val="32067B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914093"/>
    <w:multiLevelType w:val="hybridMultilevel"/>
    <w:tmpl w:val="060EA374"/>
    <w:lvl w:ilvl="0" w:tplc="6C32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A23316"/>
    <w:multiLevelType w:val="multilevel"/>
    <w:tmpl w:val="C1CE6F6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CE3988"/>
    <w:multiLevelType w:val="hybridMultilevel"/>
    <w:tmpl w:val="988CDCAE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577A0C"/>
    <w:multiLevelType w:val="hybridMultilevel"/>
    <w:tmpl w:val="D5A22096"/>
    <w:lvl w:ilvl="0" w:tplc="4B349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732775"/>
    <w:multiLevelType w:val="hybridMultilevel"/>
    <w:tmpl w:val="49EE8D86"/>
    <w:lvl w:ilvl="0" w:tplc="E9BED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EB3637D"/>
    <w:multiLevelType w:val="hybridMultilevel"/>
    <w:tmpl w:val="F5DEF000"/>
    <w:lvl w:ilvl="0" w:tplc="2E98C1D2">
      <w:start w:val="1"/>
      <w:numFmt w:val="ordin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A124F2"/>
    <w:multiLevelType w:val="hybridMultilevel"/>
    <w:tmpl w:val="49244070"/>
    <w:lvl w:ilvl="0" w:tplc="5D364B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8A5987"/>
    <w:multiLevelType w:val="hybridMultilevel"/>
    <w:tmpl w:val="988CDCAE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BA32CA"/>
    <w:multiLevelType w:val="multilevel"/>
    <w:tmpl w:val="50F429D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D3302AF"/>
    <w:multiLevelType w:val="hybridMultilevel"/>
    <w:tmpl w:val="40567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23699"/>
    <w:multiLevelType w:val="hybridMultilevel"/>
    <w:tmpl w:val="4E2A3606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A51F9"/>
    <w:multiLevelType w:val="hybridMultilevel"/>
    <w:tmpl w:val="8488E34A"/>
    <w:lvl w:ilvl="0" w:tplc="A17C7CD2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2">
    <w:nsid w:val="6187534E"/>
    <w:multiLevelType w:val="hybridMultilevel"/>
    <w:tmpl w:val="64126A40"/>
    <w:lvl w:ilvl="0" w:tplc="AA84090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A42254B"/>
    <w:multiLevelType w:val="hybridMultilevel"/>
    <w:tmpl w:val="DA9AF6F8"/>
    <w:lvl w:ilvl="0" w:tplc="C1D6CA84">
      <w:start w:val="1"/>
      <w:numFmt w:val="bullet"/>
      <w:lvlText w:val=""/>
      <w:lvlJc w:val="left"/>
      <w:pPr>
        <w:tabs>
          <w:tab w:val="num" w:pos="1849"/>
        </w:tabs>
        <w:ind w:left="1829" w:hanging="340"/>
      </w:pPr>
      <w:rPr>
        <w:rFonts w:ascii="Symbol" w:hAnsi="Symbol" w:hint="default"/>
        <w:b/>
        <w:i w:val="0"/>
        <w:caps w:val="0"/>
        <w:strike w:val="0"/>
        <w:dstrike w:val="0"/>
        <w:vanish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A82568F"/>
    <w:multiLevelType w:val="hybridMultilevel"/>
    <w:tmpl w:val="91584910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EF13F5"/>
    <w:multiLevelType w:val="hybridMultilevel"/>
    <w:tmpl w:val="BF40742E"/>
    <w:lvl w:ilvl="0" w:tplc="9E4C2F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72D10"/>
    <w:multiLevelType w:val="hybridMultilevel"/>
    <w:tmpl w:val="04B027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E32DED"/>
    <w:multiLevelType w:val="multilevel"/>
    <w:tmpl w:val="7F48853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D23A14"/>
    <w:multiLevelType w:val="multilevel"/>
    <w:tmpl w:val="4198BCA0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9">
    <w:nsid w:val="7F467AE4"/>
    <w:multiLevelType w:val="hybridMultilevel"/>
    <w:tmpl w:val="95FA3606"/>
    <w:lvl w:ilvl="0" w:tplc="6C32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6"/>
  </w:num>
  <w:num w:numId="5">
    <w:abstractNumId w:val="23"/>
  </w:num>
  <w:num w:numId="6">
    <w:abstractNumId w:val="28"/>
  </w:num>
  <w:num w:numId="7">
    <w:abstractNumId w:val="20"/>
  </w:num>
  <w:num w:numId="8">
    <w:abstractNumId w:val="18"/>
  </w:num>
  <w:num w:numId="9">
    <w:abstractNumId w:val="13"/>
  </w:num>
  <w:num w:numId="10">
    <w:abstractNumId w:val="8"/>
  </w:num>
  <w:num w:numId="11">
    <w:abstractNumId w:val="15"/>
  </w:num>
  <w:num w:numId="12">
    <w:abstractNumId w:val="27"/>
  </w:num>
  <w:num w:numId="13">
    <w:abstractNumId w:val="11"/>
  </w:num>
  <w:num w:numId="14">
    <w:abstractNumId w:val="10"/>
  </w:num>
  <w:num w:numId="15">
    <w:abstractNumId w:val="29"/>
  </w:num>
  <w:num w:numId="16">
    <w:abstractNumId w:val="24"/>
  </w:num>
  <w:num w:numId="17">
    <w:abstractNumId w:val="12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25"/>
  </w:num>
  <w:num w:numId="24">
    <w:abstractNumId w:val="7"/>
  </w:num>
  <w:num w:numId="25">
    <w:abstractNumId w:val="5"/>
  </w:num>
  <w:num w:numId="26">
    <w:abstractNumId w:val="6"/>
  </w:num>
  <w:num w:numId="27">
    <w:abstractNumId w:val="19"/>
  </w:num>
  <w:num w:numId="28">
    <w:abstractNumId w:val="17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24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3F"/>
    <w:rsid w:val="000072A9"/>
    <w:rsid w:val="000110F6"/>
    <w:rsid w:val="0001132B"/>
    <w:rsid w:val="00011387"/>
    <w:rsid w:val="00013E9B"/>
    <w:rsid w:val="00016D85"/>
    <w:rsid w:val="00043CF1"/>
    <w:rsid w:val="0005177B"/>
    <w:rsid w:val="0005559B"/>
    <w:rsid w:val="00084A6E"/>
    <w:rsid w:val="000A0799"/>
    <w:rsid w:val="000A337C"/>
    <w:rsid w:val="000C2208"/>
    <w:rsid w:val="000E5BE7"/>
    <w:rsid w:val="0013100E"/>
    <w:rsid w:val="00151B65"/>
    <w:rsid w:val="00153F29"/>
    <w:rsid w:val="00157946"/>
    <w:rsid w:val="00166C9A"/>
    <w:rsid w:val="00170A6D"/>
    <w:rsid w:val="00175132"/>
    <w:rsid w:val="001760E4"/>
    <w:rsid w:val="00186BD2"/>
    <w:rsid w:val="001A08F8"/>
    <w:rsid w:val="001B1B0C"/>
    <w:rsid w:val="001D1B41"/>
    <w:rsid w:val="00203029"/>
    <w:rsid w:val="002115C4"/>
    <w:rsid w:val="00215BA1"/>
    <w:rsid w:val="00235CFC"/>
    <w:rsid w:val="00243DA6"/>
    <w:rsid w:val="00283D55"/>
    <w:rsid w:val="00285AA5"/>
    <w:rsid w:val="002861D5"/>
    <w:rsid w:val="00287DA2"/>
    <w:rsid w:val="0029621A"/>
    <w:rsid w:val="002B7A52"/>
    <w:rsid w:val="002C0FD1"/>
    <w:rsid w:val="002D1F9F"/>
    <w:rsid w:val="003023EF"/>
    <w:rsid w:val="0033543E"/>
    <w:rsid w:val="0033688F"/>
    <w:rsid w:val="0037162C"/>
    <w:rsid w:val="003768D6"/>
    <w:rsid w:val="003808FA"/>
    <w:rsid w:val="00385EAD"/>
    <w:rsid w:val="003B00A4"/>
    <w:rsid w:val="003C6F91"/>
    <w:rsid w:val="003D5CF0"/>
    <w:rsid w:val="003F74DB"/>
    <w:rsid w:val="00406040"/>
    <w:rsid w:val="00430D81"/>
    <w:rsid w:val="004425B6"/>
    <w:rsid w:val="00460863"/>
    <w:rsid w:val="004729FA"/>
    <w:rsid w:val="004817AE"/>
    <w:rsid w:val="00481F61"/>
    <w:rsid w:val="00495946"/>
    <w:rsid w:val="004A5CF5"/>
    <w:rsid w:val="004E3ADC"/>
    <w:rsid w:val="005013FE"/>
    <w:rsid w:val="00510D80"/>
    <w:rsid w:val="00520F85"/>
    <w:rsid w:val="0053354A"/>
    <w:rsid w:val="0053507C"/>
    <w:rsid w:val="005468C0"/>
    <w:rsid w:val="00563847"/>
    <w:rsid w:val="00583C0B"/>
    <w:rsid w:val="005C620F"/>
    <w:rsid w:val="005F4623"/>
    <w:rsid w:val="00602499"/>
    <w:rsid w:val="006203FA"/>
    <w:rsid w:val="006244AA"/>
    <w:rsid w:val="00631E09"/>
    <w:rsid w:val="00632203"/>
    <w:rsid w:val="006561A2"/>
    <w:rsid w:val="00665DDC"/>
    <w:rsid w:val="00686786"/>
    <w:rsid w:val="00687AAF"/>
    <w:rsid w:val="00694B19"/>
    <w:rsid w:val="006A3099"/>
    <w:rsid w:val="006A55E3"/>
    <w:rsid w:val="006B3B15"/>
    <w:rsid w:val="006B7AAE"/>
    <w:rsid w:val="006C24EA"/>
    <w:rsid w:val="006D62DE"/>
    <w:rsid w:val="006E41E0"/>
    <w:rsid w:val="006E77B1"/>
    <w:rsid w:val="006F58D4"/>
    <w:rsid w:val="00706CAF"/>
    <w:rsid w:val="00730951"/>
    <w:rsid w:val="007402D2"/>
    <w:rsid w:val="00747D27"/>
    <w:rsid w:val="00756D9A"/>
    <w:rsid w:val="007704A2"/>
    <w:rsid w:val="00772408"/>
    <w:rsid w:val="0078474F"/>
    <w:rsid w:val="007A1BF8"/>
    <w:rsid w:val="007B2B3A"/>
    <w:rsid w:val="007C11ED"/>
    <w:rsid w:val="007C56B3"/>
    <w:rsid w:val="007C6384"/>
    <w:rsid w:val="007D2E63"/>
    <w:rsid w:val="007D7DF0"/>
    <w:rsid w:val="007E1443"/>
    <w:rsid w:val="007F1A55"/>
    <w:rsid w:val="007F2734"/>
    <w:rsid w:val="007F59A9"/>
    <w:rsid w:val="00807E4E"/>
    <w:rsid w:val="00855283"/>
    <w:rsid w:val="00873DF1"/>
    <w:rsid w:val="00885E26"/>
    <w:rsid w:val="008A0936"/>
    <w:rsid w:val="008A2AA3"/>
    <w:rsid w:val="008A5E0A"/>
    <w:rsid w:val="008B79BA"/>
    <w:rsid w:val="008C2AF1"/>
    <w:rsid w:val="008C2BFD"/>
    <w:rsid w:val="008D3EED"/>
    <w:rsid w:val="008D77D0"/>
    <w:rsid w:val="008F135F"/>
    <w:rsid w:val="00955079"/>
    <w:rsid w:val="0096136E"/>
    <w:rsid w:val="009808CC"/>
    <w:rsid w:val="009C4503"/>
    <w:rsid w:val="009E410C"/>
    <w:rsid w:val="00A24AD2"/>
    <w:rsid w:val="00A2750D"/>
    <w:rsid w:val="00A47981"/>
    <w:rsid w:val="00A50C9E"/>
    <w:rsid w:val="00A52071"/>
    <w:rsid w:val="00A613B0"/>
    <w:rsid w:val="00A831BB"/>
    <w:rsid w:val="00A8690D"/>
    <w:rsid w:val="00AA3478"/>
    <w:rsid w:val="00AA53C8"/>
    <w:rsid w:val="00AA709A"/>
    <w:rsid w:val="00AD2422"/>
    <w:rsid w:val="00B003C9"/>
    <w:rsid w:val="00B233F2"/>
    <w:rsid w:val="00B25E72"/>
    <w:rsid w:val="00B2763F"/>
    <w:rsid w:val="00B673B4"/>
    <w:rsid w:val="00B70621"/>
    <w:rsid w:val="00B86781"/>
    <w:rsid w:val="00BA5B50"/>
    <w:rsid w:val="00BB19BC"/>
    <w:rsid w:val="00BC064D"/>
    <w:rsid w:val="00BC1C58"/>
    <w:rsid w:val="00BC5132"/>
    <w:rsid w:val="00BE2DA8"/>
    <w:rsid w:val="00BE6363"/>
    <w:rsid w:val="00C237B5"/>
    <w:rsid w:val="00C255EE"/>
    <w:rsid w:val="00C321DB"/>
    <w:rsid w:val="00C410FF"/>
    <w:rsid w:val="00C50298"/>
    <w:rsid w:val="00C70C05"/>
    <w:rsid w:val="00C7247F"/>
    <w:rsid w:val="00C84C5A"/>
    <w:rsid w:val="00C970F1"/>
    <w:rsid w:val="00CC4470"/>
    <w:rsid w:val="00CC49E5"/>
    <w:rsid w:val="00CF51C0"/>
    <w:rsid w:val="00D00AE2"/>
    <w:rsid w:val="00D13604"/>
    <w:rsid w:val="00D146E3"/>
    <w:rsid w:val="00D34A53"/>
    <w:rsid w:val="00D3681C"/>
    <w:rsid w:val="00D71D81"/>
    <w:rsid w:val="00D84BBA"/>
    <w:rsid w:val="00DA64AB"/>
    <w:rsid w:val="00DB38C3"/>
    <w:rsid w:val="00DB3D2E"/>
    <w:rsid w:val="00DE0E81"/>
    <w:rsid w:val="00E04214"/>
    <w:rsid w:val="00E0780D"/>
    <w:rsid w:val="00E128B2"/>
    <w:rsid w:val="00E514B0"/>
    <w:rsid w:val="00EA5B8E"/>
    <w:rsid w:val="00EA765A"/>
    <w:rsid w:val="00EB39CC"/>
    <w:rsid w:val="00ED61CC"/>
    <w:rsid w:val="00F001A9"/>
    <w:rsid w:val="00F054E8"/>
    <w:rsid w:val="00F151C8"/>
    <w:rsid w:val="00F264B5"/>
    <w:rsid w:val="00F338BE"/>
    <w:rsid w:val="00F66ACE"/>
    <w:rsid w:val="00F67290"/>
    <w:rsid w:val="00F731DB"/>
    <w:rsid w:val="00F73F32"/>
    <w:rsid w:val="00F8503C"/>
    <w:rsid w:val="00FC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10FF"/>
    <w:rPr>
      <w:rFonts w:ascii="Arial" w:hAnsi="Arial" w:cs="Arial"/>
      <w:b/>
      <w:bCs/>
      <w:i/>
      <w:iCs/>
      <w:color w:val="808080"/>
      <w:sz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73F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73F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73F32"/>
  </w:style>
  <w:style w:type="table" w:styleId="Mkatabulky">
    <w:name w:val="Table Grid"/>
    <w:basedOn w:val="Normlntabulka"/>
    <w:rsid w:val="00011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loendokumentu">
    <w:name w:val="Document Map"/>
    <w:basedOn w:val="Normln"/>
    <w:semiHidden/>
    <w:rsid w:val="00AD2422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link w:val="TextbublinyChar"/>
    <w:rsid w:val="006F58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F58D4"/>
    <w:rPr>
      <w:rFonts w:ascii="Tahoma" w:hAnsi="Tahoma" w:cs="Tahoma"/>
      <w:b/>
      <w:bCs/>
      <w:i/>
      <w:iCs/>
      <w:color w:val="808080"/>
      <w:sz w:val="16"/>
      <w:szCs w:val="16"/>
      <w:lang w:val="cs-CZ" w:eastAsia="cs-CZ"/>
    </w:rPr>
  </w:style>
  <w:style w:type="character" w:styleId="Siln">
    <w:name w:val="Strong"/>
    <w:qFormat/>
    <w:rsid w:val="00D146E3"/>
    <w:rPr>
      <w:b/>
      <w:bCs/>
    </w:rPr>
  </w:style>
  <w:style w:type="paragraph" w:styleId="Zkladntext">
    <w:name w:val="Body Text"/>
    <w:basedOn w:val="Normln"/>
    <w:link w:val="ZkladntextChar"/>
    <w:rsid w:val="00D146E3"/>
    <w:pPr>
      <w:widowControl w:val="0"/>
      <w:suppressAutoHyphens/>
      <w:spacing w:after="120"/>
    </w:pPr>
    <w:rPr>
      <w:rFonts w:ascii="Times New Roman" w:eastAsia="Lucida Sans Unicode" w:hAnsi="Times New Roman" w:cs="Times New Roman"/>
      <w:b w:val="0"/>
      <w:bCs w:val="0"/>
      <w:i w:val="0"/>
      <w:iCs w:val="0"/>
      <w:color w:val="auto"/>
      <w:kern w:val="1"/>
      <w:szCs w:val="24"/>
    </w:rPr>
  </w:style>
  <w:style w:type="character" w:customStyle="1" w:styleId="ZkladntextChar">
    <w:name w:val="Základní text Char"/>
    <w:basedOn w:val="Standardnpsmoodstavce"/>
    <w:link w:val="Zkladntext"/>
    <w:rsid w:val="00D146E3"/>
    <w:rPr>
      <w:rFonts w:eastAsia="Lucida Sans Unicode"/>
      <w:kern w:val="1"/>
      <w:sz w:val="24"/>
      <w:szCs w:val="24"/>
      <w:lang w:val="cs-CZ"/>
    </w:rPr>
  </w:style>
  <w:style w:type="paragraph" w:styleId="Odstavecseseznamem">
    <w:name w:val="List Paragraph"/>
    <w:basedOn w:val="Normln"/>
    <w:uiPriority w:val="34"/>
    <w:qFormat/>
    <w:rsid w:val="00E514B0"/>
    <w:pPr>
      <w:ind w:left="720"/>
      <w:contextualSpacing/>
    </w:pPr>
  </w:style>
  <w:style w:type="character" w:styleId="Hypertextovodkaz">
    <w:name w:val="Hyperlink"/>
    <w:basedOn w:val="Standardnpsmoodstavce"/>
    <w:rsid w:val="00013E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10FF"/>
    <w:rPr>
      <w:rFonts w:ascii="Arial" w:hAnsi="Arial" w:cs="Arial"/>
      <w:b/>
      <w:bCs/>
      <w:i/>
      <w:iCs/>
      <w:color w:val="808080"/>
      <w:sz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73F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73F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73F32"/>
  </w:style>
  <w:style w:type="table" w:styleId="Mkatabulky">
    <w:name w:val="Table Grid"/>
    <w:basedOn w:val="Normlntabulka"/>
    <w:rsid w:val="00011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loendokumentu">
    <w:name w:val="Document Map"/>
    <w:basedOn w:val="Normln"/>
    <w:semiHidden/>
    <w:rsid w:val="00AD2422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link w:val="TextbublinyChar"/>
    <w:rsid w:val="006F58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F58D4"/>
    <w:rPr>
      <w:rFonts w:ascii="Tahoma" w:hAnsi="Tahoma" w:cs="Tahoma"/>
      <w:b/>
      <w:bCs/>
      <w:i/>
      <w:iCs/>
      <w:color w:val="808080"/>
      <w:sz w:val="16"/>
      <w:szCs w:val="16"/>
      <w:lang w:val="cs-CZ" w:eastAsia="cs-CZ"/>
    </w:rPr>
  </w:style>
  <w:style w:type="character" w:styleId="Siln">
    <w:name w:val="Strong"/>
    <w:qFormat/>
    <w:rsid w:val="00D146E3"/>
    <w:rPr>
      <w:b/>
      <w:bCs/>
    </w:rPr>
  </w:style>
  <w:style w:type="paragraph" w:styleId="Zkladntext">
    <w:name w:val="Body Text"/>
    <w:basedOn w:val="Normln"/>
    <w:link w:val="ZkladntextChar"/>
    <w:rsid w:val="00D146E3"/>
    <w:pPr>
      <w:widowControl w:val="0"/>
      <w:suppressAutoHyphens/>
      <w:spacing w:after="120"/>
    </w:pPr>
    <w:rPr>
      <w:rFonts w:ascii="Times New Roman" w:eastAsia="Lucida Sans Unicode" w:hAnsi="Times New Roman" w:cs="Times New Roman"/>
      <w:b w:val="0"/>
      <w:bCs w:val="0"/>
      <w:i w:val="0"/>
      <w:iCs w:val="0"/>
      <w:color w:val="auto"/>
      <w:kern w:val="1"/>
      <w:szCs w:val="24"/>
    </w:rPr>
  </w:style>
  <w:style w:type="character" w:customStyle="1" w:styleId="ZkladntextChar">
    <w:name w:val="Základní text Char"/>
    <w:basedOn w:val="Standardnpsmoodstavce"/>
    <w:link w:val="Zkladntext"/>
    <w:rsid w:val="00D146E3"/>
    <w:rPr>
      <w:rFonts w:eastAsia="Lucida Sans Unicode"/>
      <w:kern w:val="1"/>
      <w:sz w:val="24"/>
      <w:szCs w:val="24"/>
      <w:lang w:val="cs-CZ"/>
    </w:rPr>
  </w:style>
  <w:style w:type="paragraph" w:styleId="Odstavecseseznamem">
    <w:name w:val="List Paragraph"/>
    <w:basedOn w:val="Normln"/>
    <w:uiPriority w:val="34"/>
    <w:qFormat/>
    <w:rsid w:val="00E514B0"/>
    <w:pPr>
      <w:ind w:left="720"/>
      <w:contextualSpacing/>
    </w:pPr>
  </w:style>
  <w:style w:type="character" w:styleId="Hypertextovodkaz">
    <w:name w:val="Hyperlink"/>
    <w:basedOn w:val="Standardnpsmoodstavce"/>
    <w:rsid w:val="00013E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imalex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gdec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5769</TotalTime>
  <Pages>8</Pages>
  <Words>2617</Words>
  <Characters>15901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BC-MCHZ</Company>
  <LinksUpToDate>false</LinksUpToDate>
  <CharactersWithSpaces>18482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Bartošová Naděžda</dc:creator>
  <cp:lastModifiedBy>Zuzana SMETAKOVA (P195906)</cp:lastModifiedBy>
  <cp:revision>16</cp:revision>
  <cp:lastPrinted>2013-10-14T06:05:00Z</cp:lastPrinted>
  <dcterms:created xsi:type="dcterms:W3CDTF">2013-10-04T06:47:00Z</dcterms:created>
  <dcterms:modified xsi:type="dcterms:W3CDTF">2013-11-28T08:15:00Z</dcterms:modified>
</cp:coreProperties>
</file>